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AF9" w:rsidRPr="00637C10" w:rsidRDefault="009C7AF9" w:rsidP="00637C10">
      <w:pPr>
        <w:pStyle w:val="BodyText21"/>
        <w:spacing w:after="120" w:line="240" w:lineRule="auto"/>
        <w:ind w:right="26"/>
        <w:outlineLvl w:val="0"/>
        <w:rPr>
          <w:rFonts w:ascii="Tahoma" w:hAnsi="Tahoma" w:cs="Tahoma"/>
          <w:b/>
          <w:sz w:val="20"/>
        </w:rPr>
      </w:pPr>
      <w:bookmarkStart w:id="0" w:name="_GoBack"/>
      <w:bookmarkEnd w:id="0"/>
      <w:r w:rsidRPr="00637C10">
        <w:rPr>
          <w:rFonts w:ascii="Tahoma" w:hAnsi="Tahoma" w:cs="Tahoma"/>
          <w:b/>
          <w:sz w:val="20"/>
        </w:rPr>
        <w:t xml:space="preserve">ΠΑΡΑΡΤΗΜΑ </w:t>
      </w:r>
      <w:r w:rsidR="00EC654E" w:rsidRPr="00637C10">
        <w:rPr>
          <w:rFonts w:ascii="Tahoma" w:hAnsi="Tahoma" w:cs="Tahoma"/>
          <w:b/>
          <w:sz w:val="20"/>
          <w:lang w:val="en-US"/>
        </w:rPr>
        <w:t>V</w:t>
      </w:r>
      <w:r w:rsidRPr="00637C10">
        <w:rPr>
          <w:rFonts w:ascii="Tahoma" w:hAnsi="Tahoma" w:cs="Tahoma"/>
          <w:b/>
          <w:sz w:val="20"/>
        </w:rPr>
        <w:t xml:space="preserve"> </w:t>
      </w:r>
      <w:r w:rsidR="00EC654E" w:rsidRPr="00637C10">
        <w:rPr>
          <w:rFonts w:ascii="Tahoma" w:hAnsi="Tahoma" w:cs="Tahoma"/>
          <w:b/>
          <w:sz w:val="20"/>
        </w:rPr>
        <w:t>–</w:t>
      </w:r>
      <w:r w:rsidRPr="00637C10">
        <w:rPr>
          <w:rFonts w:ascii="Tahoma" w:hAnsi="Tahoma" w:cs="Tahoma"/>
          <w:b/>
          <w:sz w:val="20"/>
        </w:rPr>
        <w:t xml:space="preserve"> </w:t>
      </w:r>
      <w:r w:rsidR="00EC654E" w:rsidRPr="00637C10">
        <w:rPr>
          <w:rFonts w:ascii="Tahoma" w:hAnsi="Tahoma" w:cs="Tahoma"/>
          <w:b/>
          <w:sz w:val="20"/>
        </w:rPr>
        <w:t>Έλεγχος τήρησης υποχρεώσεων του Κανονισμού (ΕΕ) αριθ. 651/2014 της Επιτροπής, της 17</w:t>
      </w:r>
      <w:r w:rsidR="00EC654E" w:rsidRPr="00637C10">
        <w:rPr>
          <w:rFonts w:ascii="Tahoma" w:hAnsi="Tahoma" w:cs="Tahoma"/>
          <w:b/>
          <w:sz w:val="20"/>
          <w:vertAlign w:val="superscript"/>
        </w:rPr>
        <w:t>ης</w:t>
      </w:r>
      <w:r w:rsidR="00EC654E" w:rsidRPr="00637C10">
        <w:rPr>
          <w:rFonts w:ascii="Tahoma" w:hAnsi="Tahoma" w:cs="Tahoma"/>
          <w:b/>
          <w:sz w:val="20"/>
        </w:rPr>
        <w:t xml:space="preserve"> Ιουνίου 2014, για την </w:t>
      </w:r>
      <w:r w:rsidR="00313779" w:rsidRPr="00637C10">
        <w:rPr>
          <w:rFonts w:ascii="Tahoma" w:hAnsi="Tahoma" w:cs="Tahoma"/>
          <w:b/>
          <w:sz w:val="20"/>
        </w:rPr>
        <w:t>κήρυξη</w:t>
      </w:r>
      <w:r w:rsidR="00EC654E" w:rsidRPr="00637C10">
        <w:rPr>
          <w:rFonts w:ascii="Tahoma" w:hAnsi="Tahoma" w:cs="Tahoma"/>
          <w:b/>
          <w:sz w:val="20"/>
        </w:rPr>
        <w:t xml:space="preserve"> ορισμένων κατηγοριών ενισχύσεων ως συμβατών με την εσωτερική αγορά κατ’ εφαρμογή των άρθρων 107 και 108 της Συνθήκες (Γ</w:t>
      </w:r>
      <w:r w:rsidR="00880E0A">
        <w:rPr>
          <w:rFonts w:ascii="Tahoma" w:hAnsi="Tahoma" w:cs="Tahoma"/>
          <w:b/>
          <w:sz w:val="20"/>
        </w:rPr>
        <w:t>ενικός Απαλλακτικός Κανονισμός - Γ</w:t>
      </w:r>
      <w:r w:rsidR="00EC654E" w:rsidRPr="00637C10">
        <w:rPr>
          <w:rFonts w:ascii="Tahoma" w:hAnsi="Tahoma" w:cs="Tahoma"/>
          <w:b/>
          <w:sz w:val="20"/>
        </w:rPr>
        <w:t>ΑΚ)</w:t>
      </w:r>
      <w:r w:rsidR="008A556D">
        <w:rPr>
          <w:rFonts w:ascii="Tahoma" w:hAnsi="Tahoma" w:cs="Tahoma"/>
          <w:b/>
          <w:sz w:val="20"/>
        </w:rPr>
        <w:t>, όπως ισχύει</w:t>
      </w:r>
    </w:p>
    <w:p w:rsidR="00313779" w:rsidRPr="00637C10" w:rsidRDefault="00313779" w:rsidP="00637C10">
      <w:pPr>
        <w:pStyle w:val="BodyText21"/>
        <w:spacing w:after="120" w:line="240" w:lineRule="auto"/>
        <w:ind w:right="26"/>
        <w:outlineLvl w:val="0"/>
        <w:rPr>
          <w:rFonts w:ascii="Tahoma" w:hAnsi="Tahoma" w:cs="Tahoma"/>
          <w:b/>
          <w:sz w:val="20"/>
        </w:rPr>
      </w:pPr>
    </w:p>
    <w:p w:rsidR="00313779" w:rsidRPr="00637C10" w:rsidRDefault="00313779" w:rsidP="00637C10">
      <w:pPr>
        <w:pStyle w:val="BodyText21"/>
        <w:spacing w:after="120" w:line="240" w:lineRule="auto"/>
        <w:ind w:right="26"/>
        <w:outlineLvl w:val="0"/>
        <w:rPr>
          <w:rFonts w:ascii="Tahoma" w:hAnsi="Tahoma" w:cs="Tahoma"/>
          <w:b/>
          <w:sz w:val="20"/>
        </w:rPr>
      </w:pPr>
      <w:r w:rsidRPr="00637C10">
        <w:rPr>
          <w:rFonts w:ascii="Tahoma" w:hAnsi="Tahoma" w:cs="Tahoma"/>
          <w:b/>
          <w:sz w:val="20"/>
        </w:rPr>
        <w:t xml:space="preserve">Α. Υποχρεώσεις Γενικού μέρους </w:t>
      </w:r>
      <w:r w:rsidR="00784ED5" w:rsidRPr="00637C10">
        <w:rPr>
          <w:rFonts w:ascii="Tahoma" w:hAnsi="Tahoma" w:cs="Tahoma"/>
          <w:b/>
          <w:sz w:val="20"/>
        </w:rPr>
        <w:t xml:space="preserve">(Κεφαλαίου Ι) </w:t>
      </w:r>
      <w:r w:rsidRPr="00637C10">
        <w:rPr>
          <w:rFonts w:ascii="Tahoma" w:hAnsi="Tahoma" w:cs="Tahoma"/>
          <w:b/>
          <w:sz w:val="20"/>
        </w:rPr>
        <w:t>του ΓΑΚ</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Πρέπει να τηρούνται τα ακόλουθα</w:t>
      </w:r>
      <w:r w:rsidR="00C06212" w:rsidRPr="00637C10">
        <w:rPr>
          <w:rFonts w:ascii="Tahoma" w:hAnsi="Tahoma" w:cs="Tahoma"/>
          <w:sz w:val="20"/>
          <w:szCs w:val="20"/>
        </w:rPr>
        <w:t xml:space="preserve"> </w:t>
      </w:r>
      <w:r w:rsidR="008A556D">
        <w:rPr>
          <w:rFonts w:ascii="Tahoma" w:hAnsi="Tahoma" w:cs="Tahoma"/>
          <w:sz w:val="20"/>
          <w:szCs w:val="20"/>
        </w:rPr>
        <w:t xml:space="preserve">καθώς </w:t>
      </w:r>
      <w:r w:rsidR="00C06212" w:rsidRPr="00637C10">
        <w:rPr>
          <w:rFonts w:ascii="Tahoma" w:hAnsi="Tahoma" w:cs="Tahoma"/>
          <w:sz w:val="20"/>
          <w:szCs w:val="20"/>
        </w:rPr>
        <w:t>και να προβλέπεται διαδικασία/μηχανισμός επιβεβαίωσης και παρακολούθησης της συμβατότητας με τα ακόλουθα</w:t>
      </w:r>
      <w:r w:rsidRPr="00637C10">
        <w:rPr>
          <w:rFonts w:ascii="Tahoma" w:hAnsi="Tahoma" w:cs="Tahoma"/>
          <w:sz w:val="20"/>
          <w:szCs w:val="20"/>
        </w:rPr>
        <w:t>:</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 xml:space="preserve">Αποκλεισμός των επιχειρήσεων τις οποίες αφορά ο κανόνας Deggendorf </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Ο ΓΑΚ δεν εφαρμόζεται στα καθεστώτα ενισχύσεων που δεν αποκλείουν ρητά την καταβολή μεμονωμένων ενισχύσεων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 και ασυμβίβαστη και δεν εφαρμόζεται στις ad hoc ενισχύσεις υπέρ μιας τέτοιας επιχείρησης. </w:t>
      </w:r>
    </w:p>
    <w:p w:rsidR="00AF64AE" w:rsidRPr="00637C10" w:rsidRDefault="00AF64AE" w:rsidP="00637C10">
      <w:pPr>
        <w:numPr>
          <w:ilvl w:val="0"/>
          <w:numId w:val="2"/>
        </w:numPr>
        <w:spacing w:after="120" w:line="240" w:lineRule="auto"/>
        <w:jc w:val="both"/>
        <w:rPr>
          <w:rFonts w:ascii="Tahoma" w:hAnsi="Tahoma" w:cs="Tahoma"/>
          <w:sz w:val="20"/>
          <w:szCs w:val="20"/>
        </w:rPr>
      </w:pPr>
      <w:r w:rsidRPr="00637C10">
        <w:rPr>
          <w:rFonts w:ascii="Tahoma" w:hAnsi="Tahoma" w:cs="Tahoma"/>
          <w:sz w:val="20"/>
          <w:szCs w:val="20"/>
          <w:u w:val="single"/>
        </w:rPr>
        <w:t>Αποκλεισμός των προβληματικών επιχειρήσεων</w:t>
      </w:r>
      <w:r w:rsidRPr="00637C10">
        <w:rPr>
          <w:rFonts w:ascii="Tahoma" w:hAnsi="Tahoma" w:cs="Tahoma"/>
          <w:sz w:val="20"/>
          <w:szCs w:val="20"/>
        </w:rPr>
        <w:t xml:space="preserve"> </w:t>
      </w:r>
    </w:p>
    <w:p w:rsidR="00D17738"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 ΓΑΚ δεν εφαρμόζεται στις ενισχύσεις για προβληματικές επιχειρήσεις.</w:t>
      </w:r>
      <w:r w:rsidR="006C4880" w:rsidRPr="00637C10">
        <w:rPr>
          <w:rFonts w:ascii="Tahoma" w:hAnsi="Tahoma" w:cs="Tahoma"/>
          <w:sz w:val="20"/>
          <w:szCs w:val="20"/>
        </w:rPr>
        <w:t xml:space="preserve"> </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 xml:space="preserve">Αποκλεισμός των μέτρων ενισχύσεων που παραβιάζουν το δίκαιο της Ένωσης </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 ΓΑΚ δεν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β) την υποχρέωση του δικαιούχου να χρησιμοποιεί προϊόντα εγχώριας παραγωγής ή εθνικές υπηρεσίες·</w:t>
      </w:r>
    </w:p>
    <w:p w:rsidR="00AF64AE" w:rsidRPr="00637C10" w:rsidRDefault="00AF64AE" w:rsidP="00637C10">
      <w:pPr>
        <w:spacing w:after="120" w:line="240" w:lineRule="auto"/>
        <w:ind w:left="357"/>
        <w:jc w:val="both"/>
        <w:rPr>
          <w:rFonts w:ascii="Tahoma" w:hAnsi="Tahoma" w:cs="Tahoma"/>
          <w:sz w:val="20"/>
          <w:szCs w:val="20"/>
        </w:rPr>
      </w:pPr>
      <w:r w:rsidRPr="00637C10">
        <w:rPr>
          <w:rFonts w:ascii="Tahoma" w:hAnsi="Tahoma" w:cs="Tahoma"/>
          <w:sz w:val="20"/>
          <w:szCs w:val="20"/>
        </w:rPr>
        <w:t>γ) τον περιορισμό της δυνατότητας των δικαιούχων να κάνουν χρήση των αποτελεσμάτων της έρευνας, ανάπτυξης και καινοτομίας σε άλλα κράτη μέλη.</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Όρια κοινοποίησης μεμονωμένων ενισχύσεων</w:t>
      </w:r>
    </w:p>
    <w:p w:rsidR="008A556D" w:rsidRDefault="009258AC">
      <w:pPr>
        <w:spacing w:after="120" w:line="240" w:lineRule="auto"/>
        <w:ind w:left="360"/>
        <w:jc w:val="both"/>
        <w:rPr>
          <w:rFonts w:ascii="Tahoma" w:hAnsi="Tahoma" w:cs="Tahoma"/>
          <w:sz w:val="20"/>
          <w:szCs w:val="20"/>
        </w:rPr>
      </w:pPr>
      <w:r w:rsidRPr="00637C10">
        <w:rPr>
          <w:rFonts w:ascii="Tahoma" w:hAnsi="Tahoma" w:cs="Tahoma"/>
          <w:sz w:val="20"/>
          <w:szCs w:val="20"/>
        </w:rPr>
        <w:t xml:space="preserve">1. </w:t>
      </w:r>
      <w:r w:rsidR="00AF64AE" w:rsidRPr="00637C10">
        <w:rPr>
          <w:rFonts w:ascii="Tahoma" w:hAnsi="Tahoma" w:cs="Tahoma"/>
          <w:sz w:val="20"/>
          <w:szCs w:val="20"/>
        </w:rPr>
        <w:t>Ο ΓΑΚ δεν εφαρμόζεται στις ενισχύσεις που υπερβαίνουν</w:t>
      </w:r>
      <w:r w:rsidR="008A556D">
        <w:rPr>
          <w:rFonts w:ascii="Tahoma" w:hAnsi="Tahoma" w:cs="Tahoma"/>
          <w:sz w:val="20"/>
          <w:szCs w:val="20"/>
        </w:rPr>
        <w:t>:</w:t>
      </w:r>
    </w:p>
    <w:p w:rsidR="00DB5B7B" w:rsidRDefault="008A556D" w:rsidP="002F5995">
      <w:pPr>
        <w:spacing w:after="120" w:line="240" w:lineRule="auto"/>
        <w:ind w:left="360"/>
        <w:jc w:val="both"/>
        <w:rPr>
          <w:rFonts w:ascii="Tahoma" w:hAnsi="Tahoma" w:cs="Tahoma"/>
          <w:sz w:val="20"/>
          <w:szCs w:val="20"/>
        </w:rPr>
      </w:pPr>
      <w:r>
        <w:rPr>
          <w:rFonts w:ascii="Tahoma" w:hAnsi="Tahoma" w:cs="Tahoma"/>
          <w:sz w:val="20"/>
          <w:szCs w:val="20"/>
        </w:rPr>
        <w:t xml:space="preserve">α) </w:t>
      </w:r>
      <w:r w:rsidR="00DB5B7B">
        <w:rPr>
          <w:rFonts w:ascii="Tahoma" w:hAnsi="Tahoma" w:cs="Tahoma"/>
          <w:sz w:val="20"/>
          <w:szCs w:val="20"/>
        </w:rPr>
        <w:t xml:space="preserve">για περιφερειακές επενδυτικές ενισχύσεις: </w:t>
      </w:r>
      <w:r w:rsidR="00DB5B7B" w:rsidRPr="00DB5B7B">
        <w:rPr>
          <w:rFonts w:ascii="Tahoma" w:hAnsi="Tahoma" w:cs="Tahoma"/>
          <w:sz w:val="20"/>
          <w:szCs w:val="20"/>
        </w:rPr>
        <w:t>το «προσαρμοσμένο ποσό της ενίσχυσης», που υπολογίζεται σύμφωνα με τον μηχανισμό που διευκρινίζεται στο άρθρο 2 σημείο 20</w:t>
      </w:r>
      <w:r w:rsidR="00DB5B7B">
        <w:rPr>
          <w:rFonts w:ascii="Tahoma" w:hAnsi="Tahoma" w:cs="Tahoma"/>
          <w:sz w:val="20"/>
          <w:szCs w:val="20"/>
        </w:rPr>
        <w:t xml:space="preserve"> ΓΑΚ</w:t>
      </w:r>
      <w:r w:rsidR="00DB5B7B" w:rsidRPr="00DB5B7B">
        <w:rPr>
          <w:rFonts w:ascii="Tahoma" w:hAnsi="Tahoma" w:cs="Tahoma"/>
          <w:sz w:val="20"/>
          <w:szCs w:val="20"/>
        </w:rPr>
        <w:t>, προκειμένου για επένδυση με επιλέξιμες δαπάνες ύψους 100 εκατ. ευρώ·</w:t>
      </w:r>
    </w:p>
    <w:p w:rsidR="00DB5B7B" w:rsidRDefault="00DB5B7B" w:rsidP="002F5995">
      <w:pPr>
        <w:spacing w:after="120" w:line="240" w:lineRule="auto"/>
        <w:ind w:left="360"/>
        <w:jc w:val="both"/>
        <w:rPr>
          <w:rFonts w:ascii="Tahoma" w:hAnsi="Tahoma" w:cs="Tahoma"/>
          <w:sz w:val="20"/>
          <w:szCs w:val="20"/>
        </w:rPr>
      </w:pPr>
      <w:r>
        <w:rPr>
          <w:rFonts w:ascii="Tahoma" w:hAnsi="Tahoma" w:cs="Tahoma"/>
          <w:sz w:val="20"/>
          <w:szCs w:val="20"/>
        </w:rPr>
        <w:t>β) Για π</w:t>
      </w:r>
      <w:r w:rsidRPr="00DB5B7B">
        <w:rPr>
          <w:rFonts w:ascii="Tahoma" w:hAnsi="Tahoma" w:cs="Tahoma"/>
          <w:sz w:val="20"/>
          <w:szCs w:val="20"/>
        </w:rPr>
        <w:t>εριφερειακές ενισχύσεις αστικής ανάπτυξης: τα 20 εκατ. ευρώ, όπως ορίζεται στο άρθρο 16 παράγραφος 3</w:t>
      </w:r>
      <w:r>
        <w:rPr>
          <w:rFonts w:ascii="Tahoma" w:hAnsi="Tahoma" w:cs="Tahoma"/>
          <w:sz w:val="20"/>
          <w:szCs w:val="20"/>
        </w:rPr>
        <w:t xml:space="preserve"> ΓΑΚ</w:t>
      </w:r>
      <w:r w:rsidRPr="00DB5B7B">
        <w:rPr>
          <w:rFonts w:ascii="Tahoma" w:hAnsi="Tahoma" w:cs="Tahoma"/>
          <w:sz w:val="20"/>
          <w:szCs w:val="20"/>
        </w:rPr>
        <w:t>.</w:t>
      </w:r>
    </w:p>
    <w:p w:rsidR="008A556D" w:rsidRDefault="00DB5B7B" w:rsidP="002F5995">
      <w:pPr>
        <w:spacing w:after="120" w:line="240" w:lineRule="auto"/>
        <w:ind w:left="360"/>
        <w:jc w:val="both"/>
        <w:rPr>
          <w:rFonts w:ascii="Tahoma" w:hAnsi="Tahoma" w:cs="Tahoma"/>
          <w:sz w:val="20"/>
          <w:szCs w:val="20"/>
        </w:rPr>
      </w:pPr>
      <w:r>
        <w:rPr>
          <w:rFonts w:ascii="Tahoma" w:hAnsi="Tahoma" w:cs="Tahoma"/>
          <w:sz w:val="20"/>
          <w:szCs w:val="20"/>
        </w:rPr>
        <w:t xml:space="preserve">γ) </w:t>
      </w:r>
      <w:r w:rsidR="002F5995" w:rsidRPr="002F5995">
        <w:rPr>
          <w:rFonts w:ascii="Tahoma" w:hAnsi="Tahoma" w:cs="Tahoma"/>
          <w:sz w:val="20"/>
          <w:szCs w:val="20"/>
        </w:rPr>
        <w:t>για τις επενδυτικές ενισχύσεις για τον πολιτισμό και τη διατήρηση της κληρονομιάς: 100 εκατ. ευρώ ανά έργο· ενισχύσεις</w:t>
      </w:r>
      <w:r w:rsidR="002F5995">
        <w:rPr>
          <w:rFonts w:ascii="Tahoma" w:hAnsi="Tahoma" w:cs="Tahoma"/>
          <w:sz w:val="20"/>
          <w:szCs w:val="20"/>
        </w:rPr>
        <w:t xml:space="preserve"> </w:t>
      </w:r>
      <w:r w:rsidR="002F5995" w:rsidRPr="002F5995">
        <w:rPr>
          <w:rFonts w:ascii="Tahoma" w:hAnsi="Tahoma" w:cs="Tahoma"/>
          <w:sz w:val="20"/>
          <w:szCs w:val="20"/>
        </w:rPr>
        <w:t>λειτουργίας για τον πολιτισμό και τη διατήρηση της κληρονομιάς: 50 εκατ. ευρώ ανά επιχείρηση ετησίως·</w:t>
      </w:r>
    </w:p>
    <w:p w:rsidR="002F5995" w:rsidRDefault="00DB5B7B" w:rsidP="002F5995">
      <w:pPr>
        <w:spacing w:after="120" w:line="240" w:lineRule="auto"/>
        <w:ind w:left="360"/>
        <w:jc w:val="both"/>
        <w:rPr>
          <w:rFonts w:ascii="Tahoma" w:hAnsi="Tahoma" w:cs="Tahoma"/>
          <w:sz w:val="20"/>
          <w:szCs w:val="20"/>
        </w:rPr>
      </w:pPr>
      <w:r>
        <w:rPr>
          <w:rFonts w:ascii="Tahoma" w:hAnsi="Tahoma" w:cs="Tahoma"/>
          <w:sz w:val="20"/>
          <w:szCs w:val="20"/>
        </w:rPr>
        <w:t>δ</w:t>
      </w:r>
      <w:r w:rsidR="002F5995">
        <w:rPr>
          <w:rFonts w:ascii="Tahoma" w:hAnsi="Tahoma" w:cs="Tahoma"/>
          <w:sz w:val="20"/>
          <w:szCs w:val="20"/>
        </w:rPr>
        <w:t xml:space="preserve">) </w:t>
      </w:r>
      <w:r w:rsidR="002F5995" w:rsidRPr="002F5995">
        <w:rPr>
          <w:rFonts w:ascii="Tahoma" w:hAnsi="Tahoma" w:cs="Tahoma"/>
          <w:sz w:val="20"/>
          <w:szCs w:val="20"/>
        </w:rPr>
        <w:t>για τις επενδυτικές ενισχύσεις για αθλητικές και πολυλειτουργικές υποδομές: 15 εκατ. ευρώ ή το συνολικό κόστος που</w:t>
      </w:r>
      <w:r w:rsidR="002F5995">
        <w:rPr>
          <w:rFonts w:ascii="Tahoma" w:hAnsi="Tahoma" w:cs="Tahoma"/>
          <w:sz w:val="20"/>
          <w:szCs w:val="20"/>
        </w:rPr>
        <w:t xml:space="preserve"> </w:t>
      </w:r>
      <w:r w:rsidR="002F5995" w:rsidRPr="002F5995">
        <w:rPr>
          <w:rFonts w:ascii="Tahoma" w:hAnsi="Tahoma" w:cs="Tahoma"/>
          <w:sz w:val="20"/>
          <w:szCs w:val="20"/>
        </w:rPr>
        <w:t>υπερβαίνει τα 50 εκατ. ευρώ ανά έργο· ενισχύσεις λειτουργίας για αθλητικές υποδομές: 2 εκατ. ευρώ ανά υποδομή</w:t>
      </w:r>
      <w:r w:rsidR="002F5995">
        <w:rPr>
          <w:rFonts w:ascii="Tahoma" w:hAnsi="Tahoma" w:cs="Tahoma"/>
          <w:sz w:val="20"/>
          <w:szCs w:val="20"/>
        </w:rPr>
        <w:t xml:space="preserve"> </w:t>
      </w:r>
      <w:r w:rsidR="002F5995" w:rsidRPr="002F5995">
        <w:rPr>
          <w:rFonts w:ascii="Tahoma" w:hAnsi="Tahoma" w:cs="Tahoma"/>
          <w:sz w:val="20"/>
          <w:szCs w:val="20"/>
        </w:rPr>
        <w:t>ετησίως· και</w:t>
      </w:r>
    </w:p>
    <w:p w:rsidR="009C5AB6" w:rsidRPr="00637C10" w:rsidRDefault="002F5995" w:rsidP="002F5995">
      <w:pPr>
        <w:spacing w:after="120" w:line="240" w:lineRule="auto"/>
        <w:ind w:left="360"/>
        <w:jc w:val="both"/>
        <w:rPr>
          <w:rFonts w:ascii="Tahoma" w:hAnsi="Tahoma" w:cs="Tahoma"/>
          <w:sz w:val="20"/>
          <w:szCs w:val="20"/>
        </w:rPr>
      </w:pPr>
      <w:r w:rsidRPr="002F5995">
        <w:rPr>
          <w:rFonts w:ascii="Tahoma" w:hAnsi="Tahoma" w:cs="Tahoma"/>
          <w:sz w:val="20"/>
          <w:szCs w:val="20"/>
        </w:rPr>
        <w:t>για τις επενδυτικές ενισχύσεις για τοπικές υποδομές: 10 εκατ. ευρώ ή το συνολικό κόστος που υπερβαίνει τα 20 εκατ.</w:t>
      </w:r>
      <w:r>
        <w:rPr>
          <w:rFonts w:ascii="Tahoma" w:hAnsi="Tahoma" w:cs="Tahoma"/>
          <w:sz w:val="20"/>
          <w:szCs w:val="20"/>
        </w:rPr>
        <w:t xml:space="preserve"> </w:t>
      </w:r>
      <w:r w:rsidRPr="002F5995">
        <w:rPr>
          <w:rFonts w:ascii="Tahoma" w:hAnsi="Tahoma" w:cs="Tahoma"/>
          <w:sz w:val="20"/>
          <w:szCs w:val="20"/>
        </w:rPr>
        <w:t>ευρώ για την ίδια υποδομή</w:t>
      </w:r>
      <w:r w:rsidR="00D21A90" w:rsidRPr="00637C10">
        <w:rPr>
          <w:rFonts w:ascii="Tahoma" w:hAnsi="Tahoma" w:cs="Tahoma"/>
          <w:sz w:val="20"/>
          <w:szCs w:val="20"/>
        </w:rPr>
        <w:t>.</w:t>
      </w:r>
    </w:p>
    <w:p w:rsidR="00AF64AE" w:rsidRDefault="009258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2. </w:t>
      </w:r>
      <w:r w:rsidR="00AF64AE" w:rsidRPr="00637C10">
        <w:rPr>
          <w:rFonts w:ascii="Tahoma" w:hAnsi="Tahoma" w:cs="Tahoma"/>
          <w:sz w:val="20"/>
          <w:szCs w:val="20"/>
        </w:rPr>
        <w:t>Τα όρια δεν επιτρέπεται να καταστρατηγούνται με τον τεχνητό διαχωρισμό των καθεστώτων ενισχύσεων ή των έργων ενίσχυσης.</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Χαρακτήρας κινήτρου</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Οι ενισχύσεις μπορούν να τύχουν απαλλαγής μόνον εάν έχουν χαρακτήρα κινήτρου</w:t>
      </w:r>
      <w:r w:rsidR="006326AC" w:rsidRPr="00637C10">
        <w:rPr>
          <w:rFonts w:ascii="Tahoma" w:hAnsi="Tahoma" w:cs="Tahoma"/>
          <w:sz w:val="20"/>
          <w:szCs w:val="20"/>
        </w:rPr>
        <w:t>, ως ακολούθως</w:t>
      </w:r>
      <w:r w:rsidRPr="00637C10">
        <w:rPr>
          <w:rFonts w:ascii="Tahoma" w:hAnsi="Tahoma" w:cs="Tahoma"/>
          <w:sz w:val="20"/>
          <w:szCs w:val="20"/>
        </w:rPr>
        <w:t>:</w:t>
      </w:r>
    </w:p>
    <w:p w:rsidR="00AF64AE" w:rsidRPr="00637C10" w:rsidRDefault="006326AC" w:rsidP="00637C10">
      <w:pPr>
        <w:spacing w:after="120" w:line="240" w:lineRule="auto"/>
        <w:ind w:left="360"/>
        <w:jc w:val="both"/>
        <w:rPr>
          <w:rFonts w:ascii="Tahoma" w:hAnsi="Tahoma" w:cs="Tahoma"/>
          <w:sz w:val="20"/>
          <w:szCs w:val="20"/>
        </w:rPr>
      </w:pPr>
      <w:r w:rsidRPr="00637C10">
        <w:rPr>
          <w:rFonts w:ascii="Tahoma" w:hAnsi="Tahoma" w:cs="Tahoma"/>
          <w:sz w:val="20"/>
          <w:szCs w:val="20"/>
        </w:rPr>
        <w:lastRenderedPageBreak/>
        <w:t xml:space="preserve">α) </w:t>
      </w:r>
      <w:r w:rsidR="00AF64AE" w:rsidRPr="00637C10">
        <w:rPr>
          <w:rFonts w:ascii="Tahoma" w:hAnsi="Tahoma" w:cs="Tahoma"/>
          <w:sz w:val="20"/>
          <w:szCs w:val="20"/>
        </w:rPr>
        <w:t>Ο δικαιούχος έχει υποβάλει αίτηση ενίσχυσης στο κράτος μέλος, πριν από την έναρξη του έργου ή των εργασιών, που περιλαμβάνει τουλάχιστον τα ακόλουθα στοιχεία:</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την ονομασία και το μέγεθος της επιχείρησης·</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περιγραφή του έργου, συμπεριλαμβανομένων των ημερομηνιών έναρξης και λήξης·</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τον τόπο εκτέλεσης του έργου·</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κατάλογο των δαπανών του έργου·</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rsidR="00AF64AE" w:rsidRPr="00637C10" w:rsidRDefault="006326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β) </w:t>
      </w:r>
      <w:r w:rsidR="00AF64AE" w:rsidRPr="00637C10">
        <w:rPr>
          <w:rFonts w:ascii="Tahoma" w:hAnsi="Tahoma" w:cs="Tahoma"/>
          <w:sz w:val="20"/>
          <w:szCs w:val="20"/>
        </w:rPr>
        <w:t>Ad hoc ενισ</w:t>
      </w:r>
      <w:r w:rsidRPr="00637C10">
        <w:rPr>
          <w:rFonts w:ascii="Tahoma" w:hAnsi="Tahoma" w:cs="Tahoma"/>
          <w:sz w:val="20"/>
          <w:szCs w:val="20"/>
        </w:rPr>
        <w:t xml:space="preserve">χύσεις σε μεγάλες επιχειρήσεις, </w:t>
      </w:r>
      <w:r w:rsidR="00AF64AE" w:rsidRPr="00637C10">
        <w:rPr>
          <w:rFonts w:ascii="Tahoma" w:hAnsi="Tahoma" w:cs="Tahoma"/>
          <w:sz w:val="20"/>
          <w:szCs w:val="20"/>
        </w:rPr>
        <w:t>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ουσιώδης αύξηση του αντικειμένου του έργου/της δραστηριότητας ως αποτέλεσμα της ενίσχυσης· ή</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ουσιώδης αύξηση του συνολικού ποσού που δαπανά ο δικαιούχος για το έργο/τη δραστηριότητα ως αποτέλεσμα της ενίσχυσης· ή</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ουσιώδης αύξηση της ταχύτητας ολοκλήρωσης του συγκεκριμένου έργου/δραστηριότητας.</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Επιλέξιμες δαπάνες</w:t>
      </w:r>
    </w:p>
    <w:p w:rsidR="00297463"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Για τον υπολογισμό της έντασης της ενίσχυσης λαμβάνονται υπόψη αριθμητικά στοιχεία πριν από την αφαίρεση φόρων ή άλλων επιβαρύνσεων.</w:t>
      </w:r>
      <w:r w:rsidR="00297463" w:rsidRPr="00637C10">
        <w:rPr>
          <w:rFonts w:ascii="Tahoma" w:hAnsi="Tahoma" w:cs="Tahoma"/>
          <w:sz w:val="20"/>
          <w:szCs w:val="20"/>
        </w:rPr>
        <w:t xml:space="preserve"> </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Οι επιλέξιμες δαπάνες τεκμηριώνονται με σαφή, συγκεκριμένα και επικαιροποιημένα έγγραφα.</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Σώρευση</w:t>
      </w:r>
    </w:p>
    <w:p w:rsidR="00C77FBA"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Η </w:t>
      </w:r>
      <w:r w:rsidR="00145D10">
        <w:rPr>
          <w:rFonts w:ascii="Tahoma" w:hAnsi="Tahoma" w:cs="Tahoma"/>
          <w:sz w:val="20"/>
          <w:szCs w:val="20"/>
        </w:rPr>
        <w:t>Δ.Α.</w:t>
      </w:r>
      <w:r w:rsidRPr="00637C10">
        <w:rPr>
          <w:rFonts w:ascii="Tahoma" w:hAnsi="Tahoma" w:cs="Tahoma"/>
          <w:sz w:val="20"/>
          <w:szCs w:val="20"/>
        </w:rPr>
        <w:t xml:space="preserve"> πρέπει να επιβεβαιώνει κάθε φορά ότι τηρούνται τα όρια κοινοποίησης του σημείου 4 ανωτέρω και οι μέγιστες εντάσεις ενίσχυσης του εφαρμοστέου κάθε φορά άρθρου του ειδικού μέρους του ΓΑΚ. </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Για τον σκοπό αυτό:</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Για τα όρια και τις μέγιστες εντάσεις ενίσχυσης λαμβάνεται υπόψη το συνολικό ποσό της ενίσχυσης·</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Ε</w:t>
      </w:r>
      <w:r w:rsidR="00AF64AE" w:rsidRPr="00637C10">
        <w:rPr>
          <w:rFonts w:ascii="Tahoma" w:hAnsi="Tahoma" w:cs="Tahoma"/>
          <w:sz w:val="20"/>
          <w:szCs w:val="20"/>
        </w:rPr>
        <w:t>άν ενωσιακή χρηματοδότηση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ενωσιακής νομοθεσίας·</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w:t>
      </w:r>
      <w:r w:rsidR="00AF64AE" w:rsidRPr="00637C10">
        <w:rPr>
          <w:rFonts w:ascii="Tahoma" w:hAnsi="Tahoma" w:cs="Tahoma"/>
          <w:sz w:val="20"/>
          <w:szCs w:val="20"/>
        </w:rPr>
        <w:t>ι απαλλασσόμενες ενισχύσεις μπορούν να σωρευθούν με οποιεσδήποτε άλλες κρατικές ενισχύσεις, εάν πρόκειται για διαφορετικές προσδιορίσιμες δαπάνες·</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Δ</w:t>
      </w:r>
      <w:r w:rsidR="00AF64AE" w:rsidRPr="00637C10">
        <w:rPr>
          <w:rFonts w:ascii="Tahoma" w:hAnsi="Tahoma" w:cs="Tahoma"/>
          <w:sz w:val="20"/>
          <w:szCs w:val="20"/>
        </w:rPr>
        <w:t>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w:t>
      </w:r>
      <w:r w:rsidR="00AF64AE" w:rsidRPr="00637C10">
        <w:rPr>
          <w:rFonts w:ascii="Tahoma" w:hAnsi="Tahoma" w:cs="Tahoma"/>
          <w:sz w:val="20"/>
          <w:szCs w:val="20"/>
        </w:rPr>
        <w:t>ι κρατικές ενισχύσεις που τυγχάνουν απαλλαγής δυνάμει του ΓΑΚ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ΓΑΚ.</w:t>
      </w:r>
    </w:p>
    <w:p w:rsidR="00AF64AE" w:rsidRDefault="00AF64AE" w:rsidP="00637C10">
      <w:pPr>
        <w:spacing w:after="120" w:line="240" w:lineRule="auto"/>
        <w:jc w:val="both"/>
        <w:rPr>
          <w:rFonts w:ascii="Tahoma" w:hAnsi="Tahoma" w:cs="Tahoma"/>
          <w:sz w:val="20"/>
          <w:szCs w:val="20"/>
        </w:rPr>
      </w:pPr>
      <w:r w:rsidRPr="00637C10">
        <w:rPr>
          <w:rFonts w:ascii="Tahoma" w:hAnsi="Tahoma" w:cs="Tahoma"/>
          <w:sz w:val="20"/>
          <w:szCs w:val="20"/>
        </w:rPr>
        <w:t>Οι ανωτέρω υποχρεώσεις θα επιβεβαιώνονται κατά την αξιολόγηση των προτάσεων και την καταβολή των ενισχύσεων.</w:t>
      </w:r>
    </w:p>
    <w:p w:rsidR="00DB5B7B" w:rsidRPr="00637C10" w:rsidRDefault="00DB5B7B" w:rsidP="00637C10">
      <w:pPr>
        <w:spacing w:after="120" w:line="240" w:lineRule="auto"/>
        <w:jc w:val="both"/>
        <w:rPr>
          <w:rFonts w:ascii="Tahoma" w:hAnsi="Tahoma" w:cs="Tahoma"/>
          <w:sz w:val="20"/>
          <w:szCs w:val="20"/>
        </w:rPr>
      </w:pP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lastRenderedPageBreak/>
        <w:t>Δημοσίευση και πληροφορίες - Υποβολή εκθέσεων</w:t>
      </w:r>
    </w:p>
    <w:p w:rsidR="00AF64AE" w:rsidRPr="00637C10" w:rsidRDefault="00AF64AE" w:rsidP="00637C10">
      <w:pPr>
        <w:spacing w:after="120" w:line="240" w:lineRule="auto"/>
        <w:jc w:val="both"/>
        <w:rPr>
          <w:rFonts w:ascii="Tahoma" w:hAnsi="Tahoma" w:cs="Tahoma"/>
          <w:sz w:val="20"/>
          <w:szCs w:val="20"/>
        </w:rPr>
      </w:pPr>
      <w:r w:rsidRPr="00637C10">
        <w:rPr>
          <w:rFonts w:ascii="Tahoma" w:hAnsi="Tahoma" w:cs="Tahoma"/>
          <w:sz w:val="20"/>
          <w:szCs w:val="20"/>
        </w:rPr>
        <w:t xml:space="preserve">Η </w:t>
      </w:r>
      <w:r w:rsidR="00EC0C03" w:rsidRPr="00637C10">
        <w:rPr>
          <w:rFonts w:ascii="Tahoma" w:hAnsi="Tahoma" w:cs="Tahoma"/>
          <w:sz w:val="20"/>
          <w:szCs w:val="20"/>
        </w:rPr>
        <w:t>Δ.Α.</w:t>
      </w:r>
      <w:r w:rsidRPr="00637C10">
        <w:rPr>
          <w:rFonts w:ascii="Tahoma" w:hAnsi="Tahoma" w:cs="Tahoma"/>
          <w:sz w:val="20"/>
          <w:szCs w:val="20"/>
        </w:rPr>
        <w:t xml:space="preserve"> έχει υποχρέωση</w:t>
      </w:r>
      <w:r w:rsidR="00791D55" w:rsidRPr="00637C10">
        <w:rPr>
          <w:rFonts w:ascii="Tahoma" w:hAnsi="Tahoma" w:cs="Tahoma"/>
          <w:sz w:val="20"/>
          <w:szCs w:val="20"/>
        </w:rPr>
        <w:t xml:space="preserve"> δημοσίευσης στο </w:t>
      </w:r>
      <w:r w:rsidRPr="00637C10">
        <w:rPr>
          <w:rFonts w:ascii="Tahoma" w:hAnsi="Tahoma" w:cs="Tahoma"/>
          <w:sz w:val="20"/>
          <w:szCs w:val="20"/>
        </w:rPr>
        <w:t>δικτυακό τόπο για τις κρατικές ενισχύσεις, σε εθνικό ή περιφερειακό επίπεδο, τα εξής:</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α) συνοπτικές πληροφορίες ή σύνδεσμο που παρέχει πρόσβαση σε αυτές·</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β) το πλήρες κείμενο κάθε μέτρου ενίσχυσης ή σύνδεσμο που παρέχει πρόσβαση στο πλήρες κείμενο·</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γ) πληροφορίες για κάθε χορήγηση μεμονωμένης ενίσχυσης που υπερβαίνει τα 500 000 ευρώ.</w:t>
      </w:r>
    </w:p>
    <w:p w:rsidR="003549ED" w:rsidRDefault="00AF64AE" w:rsidP="00637C10">
      <w:pPr>
        <w:spacing w:after="120" w:line="240" w:lineRule="auto"/>
        <w:jc w:val="both"/>
        <w:rPr>
          <w:rFonts w:ascii="Tahoma" w:hAnsi="Tahoma" w:cs="Tahoma"/>
          <w:sz w:val="20"/>
          <w:szCs w:val="20"/>
        </w:rPr>
      </w:pPr>
      <w:r w:rsidRPr="00637C10">
        <w:rPr>
          <w:rFonts w:ascii="Tahoma" w:hAnsi="Tahoma" w:cs="Tahoma"/>
          <w:sz w:val="20"/>
          <w:szCs w:val="20"/>
        </w:rPr>
        <w:t>Ο δικαιούχος έχει υποχρέωση να αποδεχθεί τη δημοσίευ</w:t>
      </w:r>
      <w:r w:rsidR="00C06212" w:rsidRPr="00637C10">
        <w:rPr>
          <w:rFonts w:ascii="Tahoma" w:hAnsi="Tahoma" w:cs="Tahoma"/>
          <w:sz w:val="20"/>
          <w:szCs w:val="20"/>
        </w:rPr>
        <w:t xml:space="preserve">ση των στοιχείων του σημείου γ) </w:t>
      </w:r>
    </w:p>
    <w:p w:rsidR="00147C71" w:rsidRDefault="00147C71" w:rsidP="00637C10">
      <w:pPr>
        <w:pStyle w:val="BodyText21"/>
        <w:spacing w:after="120" w:line="240" w:lineRule="auto"/>
        <w:ind w:right="26"/>
        <w:outlineLvl w:val="0"/>
        <w:rPr>
          <w:rFonts w:ascii="Tahoma" w:hAnsi="Tahoma" w:cs="Tahoma"/>
          <w:b/>
          <w:sz w:val="20"/>
        </w:rPr>
      </w:pPr>
    </w:p>
    <w:p w:rsidR="00313779" w:rsidRPr="00637C10" w:rsidRDefault="00313779" w:rsidP="00637C10">
      <w:pPr>
        <w:pStyle w:val="BodyText21"/>
        <w:spacing w:after="120" w:line="240" w:lineRule="auto"/>
        <w:ind w:right="26"/>
        <w:outlineLvl w:val="0"/>
        <w:rPr>
          <w:rFonts w:ascii="Tahoma" w:hAnsi="Tahoma" w:cs="Tahoma"/>
          <w:b/>
          <w:sz w:val="20"/>
        </w:rPr>
      </w:pPr>
      <w:r w:rsidRPr="00637C10">
        <w:rPr>
          <w:rFonts w:ascii="Tahoma" w:hAnsi="Tahoma" w:cs="Tahoma"/>
          <w:b/>
          <w:sz w:val="20"/>
        </w:rPr>
        <w:t>Β. Υποχρεώσεις Ειδικού μέρους του ΓΑΚ</w:t>
      </w:r>
    </w:p>
    <w:p w:rsidR="00AF4421" w:rsidRDefault="00CA39AE" w:rsidP="00637C10">
      <w:pPr>
        <w:spacing w:after="120" w:line="240" w:lineRule="auto"/>
        <w:jc w:val="both"/>
        <w:rPr>
          <w:rFonts w:ascii="Tahoma" w:hAnsi="Tahoma" w:cs="Tahoma"/>
          <w:sz w:val="20"/>
          <w:szCs w:val="20"/>
        </w:rPr>
      </w:pPr>
      <w:r w:rsidRPr="00637C10">
        <w:rPr>
          <w:rFonts w:ascii="Tahoma" w:hAnsi="Tahoma" w:cs="Tahoma"/>
          <w:sz w:val="20"/>
          <w:szCs w:val="20"/>
        </w:rPr>
        <w:t xml:space="preserve">Πρέπει να τηρούνται </w:t>
      </w:r>
      <w:r w:rsidR="00C06212" w:rsidRPr="00637C10">
        <w:rPr>
          <w:rFonts w:ascii="Tahoma" w:hAnsi="Tahoma" w:cs="Tahoma"/>
          <w:sz w:val="20"/>
          <w:szCs w:val="20"/>
        </w:rPr>
        <w:t>ο</w:t>
      </w:r>
      <w:r w:rsidR="00C77FBA" w:rsidRPr="00637C10">
        <w:rPr>
          <w:rFonts w:ascii="Tahoma" w:hAnsi="Tahoma" w:cs="Tahoma"/>
          <w:sz w:val="20"/>
          <w:szCs w:val="20"/>
        </w:rPr>
        <w:t xml:space="preserve">ι προϋποθέσεις συμβατότητας που πηγάζουν από τις διατάξεις των άρθρων </w:t>
      </w:r>
      <w:r w:rsidR="00AF4421" w:rsidRPr="00637C10">
        <w:rPr>
          <w:rFonts w:ascii="Tahoma" w:hAnsi="Tahoma" w:cs="Tahoma"/>
          <w:sz w:val="20"/>
          <w:szCs w:val="20"/>
        </w:rPr>
        <w:t xml:space="preserve">14, </w:t>
      </w:r>
      <w:r w:rsidR="002F5995">
        <w:rPr>
          <w:rFonts w:ascii="Tahoma" w:hAnsi="Tahoma" w:cs="Tahoma"/>
          <w:sz w:val="20"/>
          <w:szCs w:val="20"/>
        </w:rPr>
        <w:t>53</w:t>
      </w:r>
      <w:r w:rsidR="00AF4421" w:rsidRPr="00637C10">
        <w:rPr>
          <w:rFonts w:ascii="Tahoma" w:hAnsi="Tahoma" w:cs="Tahoma"/>
          <w:sz w:val="20"/>
          <w:szCs w:val="20"/>
        </w:rPr>
        <w:t xml:space="preserve">, </w:t>
      </w:r>
      <w:r w:rsidR="002F5995">
        <w:rPr>
          <w:rFonts w:ascii="Tahoma" w:hAnsi="Tahoma" w:cs="Tahoma"/>
          <w:sz w:val="20"/>
          <w:szCs w:val="20"/>
        </w:rPr>
        <w:t>55</w:t>
      </w:r>
      <w:r w:rsidR="00AF4421" w:rsidRPr="00637C10">
        <w:rPr>
          <w:rFonts w:ascii="Tahoma" w:hAnsi="Tahoma" w:cs="Tahoma"/>
          <w:sz w:val="20"/>
          <w:szCs w:val="20"/>
        </w:rPr>
        <w:t xml:space="preserve"> και </w:t>
      </w:r>
      <w:r w:rsidR="002F5995">
        <w:rPr>
          <w:rFonts w:ascii="Tahoma" w:hAnsi="Tahoma" w:cs="Tahoma"/>
          <w:sz w:val="20"/>
          <w:szCs w:val="20"/>
        </w:rPr>
        <w:t>56</w:t>
      </w:r>
      <w:r w:rsidR="00AF4421" w:rsidRPr="00637C10">
        <w:rPr>
          <w:rFonts w:ascii="Tahoma" w:hAnsi="Tahoma" w:cs="Tahoma"/>
          <w:sz w:val="20"/>
          <w:szCs w:val="20"/>
        </w:rPr>
        <w:t xml:space="preserve"> </w:t>
      </w:r>
      <w:r w:rsidR="00C77FBA" w:rsidRPr="00637C10">
        <w:rPr>
          <w:rFonts w:ascii="Tahoma" w:hAnsi="Tahoma" w:cs="Tahoma"/>
          <w:sz w:val="20"/>
          <w:szCs w:val="20"/>
        </w:rPr>
        <w:t>του ειδικού μέρους του ΓΑΚ που πρόκειται να εφαρμοσθούν κατά περίπτωση (</w:t>
      </w:r>
      <w:r w:rsidR="002F5995">
        <w:rPr>
          <w:rFonts w:ascii="Tahoma" w:hAnsi="Tahoma" w:cs="Tahoma"/>
          <w:sz w:val="20"/>
          <w:szCs w:val="20"/>
        </w:rPr>
        <w:t>πράξη</w:t>
      </w:r>
      <w:r w:rsidR="00C77FBA" w:rsidRPr="00637C10">
        <w:rPr>
          <w:rFonts w:ascii="Tahoma" w:hAnsi="Tahoma" w:cs="Tahoma"/>
          <w:sz w:val="20"/>
          <w:szCs w:val="20"/>
        </w:rPr>
        <w:t>)</w:t>
      </w:r>
      <w:r w:rsidR="00147C71">
        <w:rPr>
          <w:rFonts w:ascii="Tahoma" w:hAnsi="Tahoma" w:cs="Tahoma"/>
          <w:sz w:val="20"/>
          <w:szCs w:val="20"/>
        </w:rPr>
        <w:t>.</w:t>
      </w:r>
      <w:r w:rsidR="00C43FE3">
        <w:rPr>
          <w:rFonts w:ascii="Tahoma" w:hAnsi="Tahoma" w:cs="Tahoma"/>
          <w:sz w:val="20"/>
          <w:szCs w:val="20"/>
        </w:rPr>
        <w:t xml:space="preserve"> Πιο συγκεκριμένα: </w:t>
      </w:r>
    </w:p>
    <w:p w:rsidR="00DB5B7B" w:rsidRDefault="00DB5B7B" w:rsidP="00637C10">
      <w:pPr>
        <w:spacing w:after="120" w:line="240" w:lineRule="auto"/>
        <w:jc w:val="both"/>
        <w:rPr>
          <w:rFonts w:ascii="Tahoma" w:hAnsi="Tahoma" w:cs="Tahoma"/>
          <w:sz w:val="20"/>
          <w:szCs w:val="20"/>
        </w:rPr>
      </w:pPr>
    </w:p>
    <w:p w:rsidR="003549ED" w:rsidRPr="00637C10" w:rsidRDefault="003549ED" w:rsidP="003549ED">
      <w:pPr>
        <w:spacing w:after="120" w:line="240" w:lineRule="auto"/>
        <w:jc w:val="both"/>
        <w:rPr>
          <w:rFonts w:ascii="Tahoma" w:hAnsi="Tahoma" w:cs="Tahoma"/>
          <w:b/>
          <w:sz w:val="20"/>
          <w:szCs w:val="20"/>
          <w:u w:val="single"/>
        </w:rPr>
      </w:pPr>
      <w:r w:rsidRPr="00637C10">
        <w:rPr>
          <w:rFonts w:ascii="Tahoma" w:hAnsi="Tahoma" w:cs="Tahoma"/>
          <w:b/>
          <w:sz w:val="20"/>
          <w:szCs w:val="20"/>
          <w:u w:val="single"/>
        </w:rPr>
        <w:t xml:space="preserve">Άρθρο 14 - Περιφερειακές επενδυτικές ενισχύσεις </w:t>
      </w:r>
    </w:p>
    <w:p w:rsidR="003549ED" w:rsidRPr="00637C10" w:rsidRDefault="003549ED" w:rsidP="003549ED">
      <w:pPr>
        <w:spacing w:after="120" w:line="240" w:lineRule="auto"/>
        <w:jc w:val="both"/>
        <w:rPr>
          <w:rFonts w:ascii="Tahoma" w:hAnsi="Tahoma" w:cs="Tahoma"/>
          <w:sz w:val="20"/>
          <w:szCs w:val="20"/>
        </w:rPr>
      </w:pPr>
      <w:r w:rsidRPr="00637C10">
        <w:rPr>
          <w:rFonts w:ascii="Tahoma" w:hAnsi="Tahoma" w:cs="Tahoma"/>
          <w:sz w:val="20"/>
          <w:szCs w:val="20"/>
        </w:rPr>
        <w:t xml:space="preserve">1. Τα μέτρα περιφερειακών επενδυτικών ενισχύσεων συμβιβάζονται με την εσωτερική αγορά κατά την έννοια του άρθρου 107 παράγραφος 3 της Συνθήκης και απαλλάσσονται από την υποχρέωση κοινοποίησης που προβλέπεται στο άρθρο 108 παράγραφος 3 της Συνθήκης, εφόσον πληρούνται οι προϋποθέσεις του παρόντος άρθρου και του κεφαλαίου Ι. </w:t>
      </w:r>
    </w:p>
    <w:p w:rsidR="003549ED" w:rsidRPr="00637C10" w:rsidRDefault="003549ED" w:rsidP="003549ED">
      <w:pPr>
        <w:spacing w:after="120" w:line="240" w:lineRule="auto"/>
        <w:jc w:val="both"/>
        <w:rPr>
          <w:rFonts w:ascii="Tahoma" w:hAnsi="Tahoma" w:cs="Tahoma"/>
          <w:sz w:val="20"/>
          <w:szCs w:val="20"/>
        </w:rPr>
      </w:pPr>
      <w:r w:rsidRPr="00637C10">
        <w:rPr>
          <w:rFonts w:ascii="Tahoma" w:hAnsi="Tahoma" w:cs="Tahoma"/>
          <w:sz w:val="20"/>
          <w:szCs w:val="20"/>
        </w:rPr>
        <w:t xml:space="preserve">2. Οι ενισχύσεις χορηγούνται σε ενισχυόμενες περιοχές. </w:t>
      </w:r>
    </w:p>
    <w:p w:rsidR="003549ED" w:rsidRPr="00637C10" w:rsidRDefault="003549ED" w:rsidP="003549ED">
      <w:pPr>
        <w:spacing w:after="120" w:line="240" w:lineRule="auto"/>
        <w:jc w:val="both"/>
        <w:rPr>
          <w:rFonts w:ascii="Tahoma" w:hAnsi="Tahoma" w:cs="Tahoma"/>
          <w:sz w:val="20"/>
          <w:szCs w:val="20"/>
        </w:rPr>
      </w:pPr>
      <w:r w:rsidRPr="00637C10">
        <w:rPr>
          <w:rFonts w:ascii="Tahoma" w:hAnsi="Tahoma" w:cs="Tahoma"/>
          <w:sz w:val="20"/>
          <w:szCs w:val="20"/>
        </w:rPr>
        <w:t xml:space="preserve">3. Στις ενισχυόμενες περιοχές που πληρούν τις προϋποθέσεις του άρθρου 107 παράγραφος 3 στοιχείο α) της Συνθήκης, οι ενισχύσεις μπορούν να χορηγούνται για αρχικές επενδύσεις, ανεξάρτητα από το μέγεθος του δικαιούχου. Στις ενισχυόμενες περιοχές που πληρούν τις προϋποθέσεις του άρθρου 107 παράγραφος 3 στοιχείο γ) της Συνθήκης, οι ενισχύσεις μπορούν να χορηγούνται σε ΜΜΕ για οποιαδήποτε μορφή αρχικής επένδυσης. Οι ενισχύσεις σε μεγάλες επιχειρήσεις χορηγούνται μόνο για αρχική επένδυση για νέα οικονομική δραστηριότητα στη συγκεκριμένη περιοχή. </w:t>
      </w:r>
    </w:p>
    <w:p w:rsidR="003549ED" w:rsidRPr="00637C10" w:rsidRDefault="003549ED" w:rsidP="003549ED">
      <w:pPr>
        <w:spacing w:after="120" w:line="240" w:lineRule="auto"/>
        <w:jc w:val="both"/>
        <w:rPr>
          <w:rFonts w:ascii="Tahoma" w:hAnsi="Tahoma" w:cs="Tahoma"/>
          <w:sz w:val="20"/>
          <w:szCs w:val="20"/>
        </w:rPr>
      </w:pPr>
      <w:r w:rsidRPr="00637C10">
        <w:rPr>
          <w:rFonts w:ascii="Tahoma" w:hAnsi="Tahoma" w:cs="Tahoma"/>
          <w:sz w:val="20"/>
          <w:szCs w:val="20"/>
        </w:rPr>
        <w:t xml:space="preserve">4. Είναι επιλέξιμες οι ακόλουθες δαπάνες: α) επενδυτικές δαπάνες σε ενσώματα και άυλα στοιχεία ενεργητικού· β) το εκτιμώμενο μισθολογικό κόστος που προκύπτει από τη δημιουργία θέσεων εργασίας ως αποτέλεσμα αρχικής επένδυσης, υπολογιζόμενο σε περίοδο δύο ετών· ή γ) συνδυασμός των δαπανών που αναφέρονται στα στοιχεία α) και β), εφόσον το συνολικό ποσό δεν υπερβαίνει το ποσό του α) ή του β), ανάλογα με το ποιο είναι μεγαλύτερο. </w:t>
      </w:r>
    </w:p>
    <w:p w:rsidR="003549ED" w:rsidRPr="00637C10" w:rsidRDefault="003549ED" w:rsidP="003549ED">
      <w:pPr>
        <w:spacing w:after="120" w:line="240" w:lineRule="auto"/>
        <w:jc w:val="both"/>
        <w:rPr>
          <w:rFonts w:ascii="Tahoma" w:hAnsi="Tahoma" w:cs="Tahoma"/>
          <w:sz w:val="20"/>
          <w:szCs w:val="20"/>
        </w:rPr>
      </w:pPr>
      <w:r w:rsidRPr="00637C10">
        <w:rPr>
          <w:rFonts w:ascii="Tahoma" w:hAnsi="Tahoma" w:cs="Tahoma"/>
          <w:sz w:val="20"/>
          <w:szCs w:val="20"/>
        </w:rPr>
        <w:t xml:space="preserve">5. Η επένδυση διατηρείται στην περιοχή όπου χορηγείται η ενίσχυση για τουλάχιστον πέντε έτη, ή τουλάχιστον τρία έτη στην περίπτωση των ΜΜΕ, μετά την ολοκλήρωση της επένδυσης. Αυτό δεν εμποδίζει την αντικατάσταση μονάδας ή εξοπλισμού που κατέστησαν παρωχημένα ή υπέστησαν βλάβες κατά την περίοδο αυτή, εφόσον η οικονομική δραστηριότητα διατηρείται στη συγκεκριμένη περιοχή κατά τη σχετική ελάχιστη απαιτούμενη περίοδο. </w:t>
      </w:r>
    </w:p>
    <w:p w:rsidR="003549ED" w:rsidRPr="00637C10" w:rsidRDefault="003549ED" w:rsidP="003549ED">
      <w:pPr>
        <w:spacing w:after="120" w:line="240" w:lineRule="auto"/>
        <w:jc w:val="both"/>
        <w:rPr>
          <w:rFonts w:ascii="Tahoma" w:hAnsi="Tahoma" w:cs="Tahoma"/>
          <w:sz w:val="20"/>
          <w:szCs w:val="20"/>
        </w:rPr>
      </w:pPr>
      <w:r w:rsidRPr="00637C10">
        <w:rPr>
          <w:rFonts w:ascii="Tahoma" w:hAnsi="Tahoma" w:cs="Tahoma"/>
          <w:sz w:val="20"/>
          <w:szCs w:val="20"/>
        </w:rPr>
        <w:t xml:space="preserve">6. Τα αποκτώμενα στοιχεία ενεργητικού πρέπει να είναι καινούρια, εκτός αν αποκτώνται από ΜΜΕ ή αν πρόκειται για την απόκτηση επιχειρηματικής εγκατάστασης. Οι δαπάνες που συνδέονται με τη μίσθωση ενσώματων στοιχείων ενεργητικού μπορούν να λαμβάνονται υπόψη υπό τις ακόλουθες προϋποθέσεις: α) για τα γήπεδα και τα κτίρια, η μίσθωση πρέπει να συνεχίζεται για τουλάχιστον πέντε έτη μετά την αναμενόμενη ημερομηνία ολοκλήρωσης του επενδυτικού έργου στην περίπτωση μεγάλων επιχειρήσεων ή τρία έτη στην περίπτωση των ΜΜΕ· β) για τις μονάδες παραγωγής ή τα μηχανήματα, η μίσθωση πρέπει να λαμβάνει τη μορφή χρηματοδοτικής μίσθωσης και να περιλαμβάνει υποχρέωση αγοράς των στοιχείων ενεργητικού από τον δικαιούχο της ενίσχυσης κατά τη λήξη της περιόδου μίσθωσης. Σε περίπτωση απόκτησης στοιχείων ενεργητικού επιχειρηματικής εγκατάστασης, κατά την έννοια του άρθρου 2 σημείο 49, λαμβάνονται υπόψη μόνον οι δαπάνες για την αγορά των στοιχείων ενεργητικού από τρίτους οι οποίοι δεν σχετίζονται με τον αγοραστή. Η συναλλαγή πραγματοποιείται υπό τους όρους της αγοράς. Στην περίπτωση που έχει ήδη χορηγηθεί ενίσχυση για την απόκτηση στοιχείων ενεργητικού πριν από την αγορά τους, το κόστος των εν λόγω στοιχείων ενεργητικού αφαιρείται από τις επιλέξιμες δαπάνες που συνδέονται </w:t>
      </w:r>
      <w:r w:rsidRPr="00637C10">
        <w:rPr>
          <w:rFonts w:ascii="Tahoma" w:hAnsi="Tahoma" w:cs="Tahoma"/>
          <w:sz w:val="20"/>
          <w:szCs w:val="20"/>
        </w:rPr>
        <w:lastRenderedPageBreak/>
        <w:t xml:space="preserve">με την απόκτηση επιχειρηματικής εγκατάστασης. Όταν ένα μέλος της οικογένειας ή ένας υπάλληλος του αρχικού ιδιοκτήτη αναλαμβάνει μια μικρή επιχείρηση, δεν ισχύει ο όρος ότι τα στοιχεία ενεργητικού πρέπει να αγοράζονται από τρίτους που δεν σχετίζονται με τον αγοραστή. Η απόκτηση μετοχών δεν συνιστά αρχική επένδυση. </w:t>
      </w:r>
    </w:p>
    <w:p w:rsidR="003549ED" w:rsidRPr="00637C10" w:rsidRDefault="003549ED" w:rsidP="003549ED">
      <w:pPr>
        <w:spacing w:after="120" w:line="240" w:lineRule="auto"/>
        <w:jc w:val="both"/>
        <w:rPr>
          <w:rFonts w:ascii="Tahoma" w:hAnsi="Tahoma" w:cs="Tahoma"/>
          <w:sz w:val="20"/>
          <w:szCs w:val="20"/>
        </w:rPr>
      </w:pPr>
      <w:r w:rsidRPr="00637C10">
        <w:rPr>
          <w:rFonts w:ascii="Tahoma" w:hAnsi="Tahoma" w:cs="Tahoma"/>
          <w:sz w:val="20"/>
          <w:szCs w:val="20"/>
        </w:rPr>
        <w:t xml:space="preserve">7. Όσον αφορά τις ενισχύσεις που χορηγούνται για την υλοποίηση θεμελιώδους αλλαγής στην παραγωγική διαδικασία, οι επιλέξιμες δαπάνες πρέπει να υπερβαίνουν τις αποσβέσεις των στοιχείων ενεργητικού που συνδέονται με τη δραστηριότητα που πρόκειται να εκσυγχρονιστεί κατά τη διάρκεια των τριών προηγούμενων οικονομικών ετών. Όσον αφορά ενισχύσεις που χορηγούνται για διαφοροποίηση υφιστάμενης επιχειρηματικής εγκατάστασης, οι επιλέξιμες δαπάνες πρέπει να υπερβαίνουν κατά τουλάχιστον 200 % τη λογιστική αξία των στοιχείων ενεργητικού που επαναχρησιμοποιούνται, όπως έχει καταγραφεί στο οικονομικό έτος που προηγείται της έναρξης των εργασιών. </w:t>
      </w:r>
    </w:p>
    <w:p w:rsidR="003549ED" w:rsidRPr="00637C10" w:rsidRDefault="003549ED" w:rsidP="003549ED">
      <w:pPr>
        <w:spacing w:after="120" w:line="240" w:lineRule="auto"/>
        <w:jc w:val="both"/>
        <w:rPr>
          <w:rFonts w:ascii="Tahoma" w:hAnsi="Tahoma" w:cs="Tahoma"/>
          <w:sz w:val="20"/>
          <w:szCs w:val="20"/>
        </w:rPr>
      </w:pPr>
      <w:r w:rsidRPr="00637C10">
        <w:rPr>
          <w:rFonts w:ascii="Tahoma" w:hAnsi="Tahoma" w:cs="Tahoma"/>
          <w:sz w:val="20"/>
          <w:szCs w:val="20"/>
        </w:rPr>
        <w:t xml:space="preserve">8. Τα άυλα στοιχεία ενεργητικού είναι επιλέξιμα για τον υπολογισμό των επενδυτικών δαπανών, εφόσον πληρούν τις ακόλουθες προϋποθέσεις: α) πρέπει να χρησιμοποιούνται αποκλειστικά στην επιχειρηματική εγκατάσταση που λαμβάνει την ενίσχυση· β) πρέπει να είναι αποσβεστέα· γ) πρέπει να αγοράζονται σύμφωνα με τους όρους της αγοράς από τρίτους που δεν έχουν σχέση με τον αγοραστή και δ) πρέπει να περιλαμβάνονται στα στοιχεία ενεργητικού της επιχείρησης στην οποία χορηγείται η ενίσχυση και να παραμένουν συνδεδεμένα με το έργο για το οποίο χορηγείται η ενίσχυση επί τουλάχιστον πέντε έτη ή τρία έτη στην περίπτωση των ΜΜΕ. Για τις μεγάλες επιχειρήσεις, οι δαπάνες άυλων στοιχείων ενεργητικού είναι επιλέξιμες μόνο μέχρι ανώτατου ποσοστού 50 % των συνολικών επιλέξιμων επενδυτικών δαπανών για την αρχική επένδυση. </w:t>
      </w:r>
    </w:p>
    <w:p w:rsidR="003549ED" w:rsidRPr="00637C10" w:rsidRDefault="003549ED" w:rsidP="003549ED">
      <w:pPr>
        <w:spacing w:after="120" w:line="240" w:lineRule="auto"/>
        <w:jc w:val="both"/>
        <w:rPr>
          <w:rFonts w:ascii="Tahoma" w:hAnsi="Tahoma" w:cs="Tahoma"/>
          <w:sz w:val="20"/>
          <w:szCs w:val="20"/>
        </w:rPr>
      </w:pPr>
      <w:r w:rsidRPr="00637C10">
        <w:rPr>
          <w:rFonts w:ascii="Tahoma" w:hAnsi="Tahoma" w:cs="Tahoma"/>
          <w:sz w:val="20"/>
          <w:szCs w:val="20"/>
        </w:rPr>
        <w:t xml:space="preserve">9. Όταν οι επιλέξιμες δαπάνες υπολογίζονται με βάση το εκτιμώμενο μισθολογικό κόστος, όπως αναφέρεται στην παράγραφο 4 στοιχείο β), πρέπει να πληρούνται οι ακόλουθες προϋποθέσεις: α) το επενδυτικό έργο συνεπάγεται καθαρή αύξηση του αριθμού εργαζομένων στη συγκεκριμένη επιχειρηματική εγκατάσταση σε σύγκριση με τον μέσο όρο του προηγηθέντος δωδεκαμήνου. Αυτό σημαίνει ότι κάθε χαμένη θέση εργασίας αφαιρείται από τον εμφανή αριθμό των θέσεων εργασίας που δημιουργήθηκαν κατά την περίοδο εκείνη· β) η πλήρωση κάθε θέσης εργασίας πραγματοποιείται εντός τριών ετών από την περάτωση των εργασιών· και γ) κάθε θέση εργασίας που δημιουργείται μέσω της επένδυσης διατηρείται στη συγκεκριμένη περιοχή για περίοδο τουλάχιστον πέντε ετών, ή τριών ετών σε περίπτωση ΜΜΕ, από την ημερομηνία πλήρωσης της θέσης για πρώτη φορά </w:t>
      </w:r>
    </w:p>
    <w:p w:rsidR="003549ED" w:rsidRPr="00637C10" w:rsidRDefault="003549ED" w:rsidP="003549ED">
      <w:pPr>
        <w:spacing w:after="120" w:line="240" w:lineRule="auto"/>
        <w:jc w:val="both"/>
        <w:rPr>
          <w:rFonts w:ascii="Tahoma" w:hAnsi="Tahoma" w:cs="Tahoma"/>
          <w:sz w:val="20"/>
          <w:szCs w:val="20"/>
        </w:rPr>
      </w:pPr>
      <w:r w:rsidRPr="00637C10">
        <w:rPr>
          <w:rFonts w:ascii="Tahoma" w:hAnsi="Tahoma" w:cs="Tahoma"/>
          <w:sz w:val="20"/>
          <w:szCs w:val="20"/>
        </w:rPr>
        <w:t xml:space="preserve">12. Η ένταση της ενίσχυσης, εκφραζόμενη σε ακαθάριστο ισοδύναμο επιχορήγησης, δεν υπερβαίνει τη μέγιστη ένταση ενίσχυσης που προσδιορίζεται στον χάρτη περιφερειακών ενισχύσεων ο οποίος ισχύει κατά την ημερομηνία χορήγησης της ενίσχυσης στη συγκεκριμένη περιοχή. Όταν η ένταση ενίσχυσης υπολογίζεται βάσει της παραγράφου 4 στοιχείο γ), η μέγιστη ένταση ενίσχυσης δεν υπερβαίνει το πλέον ευνοϊκό ποσό που προκύπτει από την εφαρμογή της εν λόγω έντασης με βάση τις επενδυτικές δαπάνες ή το μισθολογικό κόστος. Για τα μεγάλα επενδυτικά έργα, το ποσό της ενίσχυσης δεν υπερβαίνει το προσαρμοσμένο ποσό ενίσχυσης που υπολογίζεται σύμφωνα με τον μηχανισμό που ορίζεται στο άρθρο 2 σημείο 20. </w:t>
      </w:r>
    </w:p>
    <w:p w:rsidR="003549ED" w:rsidRPr="00637C10" w:rsidRDefault="003549ED" w:rsidP="003549ED">
      <w:pPr>
        <w:spacing w:after="120" w:line="240" w:lineRule="auto"/>
        <w:jc w:val="both"/>
        <w:rPr>
          <w:rFonts w:ascii="Tahoma" w:hAnsi="Tahoma" w:cs="Tahoma"/>
          <w:sz w:val="20"/>
          <w:szCs w:val="20"/>
        </w:rPr>
      </w:pPr>
      <w:r w:rsidRPr="00637C10">
        <w:rPr>
          <w:rFonts w:ascii="Tahoma" w:hAnsi="Tahoma" w:cs="Tahoma"/>
          <w:sz w:val="20"/>
          <w:szCs w:val="20"/>
        </w:rPr>
        <w:t xml:space="preserve">13. Κάθε αρχική επένδυση του ίδιου δικαιούχου (σε επίπεδο ομίλου), η οποία αρχίζει εντός τριών ετών από την ημερομηνία έναρξης των εργασιών για άλλη ενισχυόμενη επένδυση στην ίδια περιφέρεια επιπέδου 3 της ονοματολογίας εδαφικών στατιστικών μονάδων, θεωρείται ότι ανήκει σε ενιαίο επενδυτικό έργο. Όταν το ενιαίο επενδυτικό έργο αποτελεί μεγάλο επενδυτικό έργο, το συνολικό ποσό της ενίσχυσης για το ενιαίο επενδυτικό έργο δεν υπερβαίνει το προσαρμοσμένο ποσό ενίσχυσης για μεγάλα επενδυτικά έργα. </w:t>
      </w:r>
    </w:p>
    <w:p w:rsidR="003549ED" w:rsidRPr="00637C10" w:rsidRDefault="003549ED" w:rsidP="003549ED">
      <w:pPr>
        <w:spacing w:after="120" w:line="240" w:lineRule="auto"/>
        <w:jc w:val="both"/>
        <w:rPr>
          <w:rFonts w:ascii="Tahoma" w:hAnsi="Tahoma" w:cs="Tahoma"/>
          <w:sz w:val="20"/>
          <w:szCs w:val="20"/>
        </w:rPr>
      </w:pPr>
      <w:r w:rsidRPr="00637C10">
        <w:rPr>
          <w:rFonts w:ascii="Tahoma" w:hAnsi="Tahoma" w:cs="Tahoma"/>
          <w:sz w:val="20"/>
          <w:szCs w:val="20"/>
        </w:rPr>
        <w:t xml:space="preserve">14. Η οικονομική συμμετοχή του δικαιούχου της ενίσχυσης πρέπει να ανέρχεται σε τουλάχιστον 25 % των επιλέξιμων δαπανών, είτε μέσω ιδίων πόρων είτε μέσω εξωτερικής χρηματοδότησης, και με μορφή που δεν περιέχει στοιχεία κρατικής ενίσχυσης. Στις εξόχως απόκεντρες περιοχές, επένδυση που πραγματοποιείται από ΜΜΕ μπορεί να λάβει ενίσχυση με μέγιστη ένταση ενίσχυσης άνω του 75 %. Στις περιπτώσεις αυτές, το υπόλοιπο καλύπτεται με οικονομική συμμετοχή του δικαιούχου της ενίσχυσης. </w:t>
      </w:r>
    </w:p>
    <w:p w:rsidR="003549ED" w:rsidRPr="00637C10" w:rsidRDefault="003549ED" w:rsidP="003549ED">
      <w:pPr>
        <w:spacing w:after="120" w:line="240" w:lineRule="auto"/>
        <w:jc w:val="both"/>
        <w:rPr>
          <w:rFonts w:ascii="Tahoma" w:hAnsi="Tahoma" w:cs="Tahoma"/>
          <w:sz w:val="20"/>
          <w:szCs w:val="20"/>
        </w:rPr>
      </w:pPr>
      <w:r w:rsidRPr="00637C10">
        <w:rPr>
          <w:rFonts w:ascii="Tahoma" w:hAnsi="Tahoma" w:cs="Tahoma"/>
          <w:sz w:val="20"/>
          <w:szCs w:val="20"/>
        </w:rPr>
        <w:t>15. Όσον αφορά τις αρχικές επενδύσεις που συνδέονται με έργα ευρωπαϊκής εδαφικής συνεργασίας που υπάγονται στον κανονισμό (ΕΕ) αριθ. 1299/2013, η ένταση ενίσχυσης της περιοχής στην οποία πραγματοποιείται η αρχική επένδυση ισχύει για όλους τους δικαιούχους που συμμετέχουν στο έργο. Εάν η αρχική επένδυση υλοποιείται σε δύο ή περισσότερες ενισχυόμενες περιοχές, ως μέγιστη ένταση ενίσχυσης ορίζεται εκείνη που εφαρμόζεται στην ενισχυόμενη περιοχή που παρουσιάζει τις υψηλό</w:t>
      </w:r>
      <w:r w:rsidRPr="00637C10">
        <w:rPr>
          <w:rFonts w:ascii="Tahoma" w:hAnsi="Tahoma" w:cs="Tahoma"/>
          <w:sz w:val="20"/>
          <w:szCs w:val="20"/>
        </w:rPr>
        <w:softHyphen/>
        <w:t xml:space="preserve"> τερες επιλέξιμες </w:t>
      </w:r>
      <w:r w:rsidRPr="00637C10">
        <w:rPr>
          <w:rFonts w:ascii="Tahoma" w:hAnsi="Tahoma" w:cs="Tahoma"/>
          <w:sz w:val="20"/>
          <w:szCs w:val="20"/>
        </w:rPr>
        <w:lastRenderedPageBreak/>
        <w:t>δαπάνες. Στις ενισχυόμενες περιοχές που είναι επιλέξιμες για ενίσχυση βάσει του άρθρου 107 παράγραφος 3 στοιχείο γ) της Συνθήκης, η παρούσα διάταξη εφαρμόζεται σε μεγάλες επιχειρήσεις μόνον αν η αρχική επένδυση αφορά νέα οικονομική δραστηριότητα</w:t>
      </w:r>
    </w:p>
    <w:p w:rsidR="00C77FBA" w:rsidRPr="00637C10" w:rsidRDefault="0054758B" w:rsidP="00637C10">
      <w:pPr>
        <w:spacing w:after="120" w:line="240" w:lineRule="auto"/>
        <w:jc w:val="both"/>
        <w:rPr>
          <w:rFonts w:ascii="Tahoma" w:hAnsi="Tahoma" w:cs="Tahoma"/>
          <w:b/>
          <w:sz w:val="20"/>
          <w:szCs w:val="20"/>
          <w:u w:val="single"/>
        </w:rPr>
      </w:pPr>
      <w:r w:rsidRPr="00637C10">
        <w:rPr>
          <w:rFonts w:ascii="Tahoma" w:hAnsi="Tahoma" w:cs="Tahoma"/>
          <w:b/>
          <w:sz w:val="20"/>
          <w:szCs w:val="20"/>
          <w:u w:val="single"/>
        </w:rPr>
        <w:t xml:space="preserve">Άρθρο </w:t>
      </w:r>
      <w:r w:rsidR="002C707E">
        <w:rPr>
          <w:rFonts w:ascii="Tahoma" w:hAnsi="Tahoma" w:cs="Tahoma"/>
          <w:b/>
          <w:sz w:val="20"/>
          <w:szCs w:val="20"/>
          <w:u w:val="single"/>
        </w:rPr>
        <w:t>53</w:t>
      </w:r>
    </w:p>
    <w:p w:rsidR="00EA32F4" w:rsidRPr="00DB5B7B" w:rsidRDefault="002C707E" w:rsidP="00DB5B7B">
      <w:pPr>
        <w:pStyle w:val="a6"/>
        <w:numPr>
          <w:ilvl w:val="0"/>
          <w:numId w:val="19"/>
        </w:numPr>
        <w:spacing w:after="120" w:line="240" w:lineRule="auto"/>
        <w:jc w:val="both"/>
        <w:rPr>
          <w:rFonts w:ascii="Tahoma" w:hAnsi="Tahoma" w:cs="Tahoma"/>
          <w:sz w:val="20"/>
          <w:szCs w:val="20"/>
        </w:rPr>
      </w:pPr>
      <w:r w:rsidRPr="002C707E">
        <w:rPr>
          <w:rFonts w:ascii="Tahoma" w:hAnsi="Tahoma" w:cs="Tahoma"/>
          <w:b/>
          <w:bCs/>
          <w:sz w:val="20"/>
          <w:szCs w:val="20"/>
          <w:u w:val="single"/>
        </w:rPr>
        <w:t xml:space="preserve">Ενισχύσεις για τον πολιτισμό και τη διατήρηση της κληρονομιάς </w:t>
      </w:r>
      <w:r w:rsidR="00EA32F4" w:rsidRPr="00DB5B7B">
        <w:rPr>
          <w:rFonts w:ascii="Tahoma" w:hAnsi="Tahoma" w:cs="Tahoma"/>
          <w:sz w:val="20"/>
          <w:szCs w:val="20"/>
        </w:rPr>
        <w:t xml:space="preserve">Οι ενισχύσεις </w:t>
      </w:r>
      <w:r w:rsidRPr="00DB5B7B">
        <w:rPr>
          <w:rFonts w:ascii="Tahoma" w:hAnsi="Tahoma" w:cs="Tahoma"/>
          <w:sz w:val="20"/>
          <w:szCs w:val="20"/>
        </w:rPr>
        <w:t xml:space="preserve">για τον πολιτισμό και τη διατήρηση της κληρονομιάς </w:t>
      </w:r>
      <w:r w:rsidR="00EA32F4" w:rsidRPr="00DB5B7B">
        <w:rPr>
          <w:rFonts w:ascii="Tahoma" w:hAnsi="Tahoma" w:cs="Tahoma"/>
          <w:sz w:val="20"/>
          <w:szCs w:val="20"/>
        </w:rPr>
        <w:t xml:space="preserve"> συμβιβάζονται με την εσωτερική αγορά κατά την έννοια του άρθρου 107 παράγραφος 3 της Συνθήκης και απαλλάσσονται από την υποχρέωση κοινοποίησης που προβλέπεται στο άρθρο 108 παράγραφος 3 της Συνθήκης, εφόσον πληρούνται οι προϋποθέσεις του άρθρου </w:t>
      </w:r>
      <w:r w:rsidRPr="00DB5B7B">
        <w:rPr>
          <w:rFonts w:ascii="Tahoma" w:hAnsi="Tahoma" w:cs="Tahoma"/>
          <w:sz w:val="20"/>
          <w:szCs w:val="20"/>
        </w:rPr>
        <w:t>53</w:t>
      </w:r>
      <w:r w:rsidR="00791D55" w:rsidRPr="00DB5B7B">
        <w:rPr>
          <w:rFonts w:ascii="Tahoma" w:hAnsi="Tahoma" w:cs="Tahoma"/>
          <w:sz w:val="20"/>
          <w:szCs w:val="20"/>
        </w:rPr>
        <w:t xml:space="preserve"> </w:t>
      </w:r>
      <w:r w:rsidR="00EA32F4" w:rsidRPr="00DB5B7B">
        <w:rPr>
          <w:rFonts w:ascii="Tahoma" w:hAnsi="Tahoma" w:cs="Tahoma"/>
          <w:sz w:val="20"/>
          <w:szCs w:val="20"/>
        </w:rPr>
        <w:t>και του κεφαλαίου Ι</w:t>
      </w:r>
      <w:r w:rsidR="00791D55" w:rsidRPr="00DB5B7B">
        <w:rPr>
          <w:rFonts w:ascii="Tahoma" w:hAnsi="Tahoma" w:cs="Tahoma"/>
          <w:sz w:val="20"/>
          <w:szCs w:val="20"/>
        </w:rPr>
        <w:t xml:space="preserve"> του ΓΑΚ, ως εξής:</w:t>
      </w:r>
      <w:r w:rsidR="00EA32F4" w:rsidRPr="00DB5B7B">
        <w:rPr>
          <w:rFonts w:ascii="Tahoma" w:hAnsi="Tahoma" w:cs="Tahoma"/>
          <w:sz w:val="20"/>
          <w:szCs w:val="20"/>
        </w:rPr>
        <w:t xml:space="preserve"> </w:t>
      </w:r>
    </w:p>
    <w:p w:rsidR="002C707E" w:rsidRPr="00DB5B7B" w:rsidRDefault="002C707E" w:rsidP="00DB5B7B">
      <w:pPr>
        <w:pStyle w:val="a6"/>
        <w:numPr>
          <w:ilvl w:val="0"/>
          <w:numId w:val="19"/>
        </w:numPr>
        <w:spacing w:after="120" w:line="240" w:lineRule="auto"/>
        <w:jc w:val="both"/>
        <w:rPr>
          <w:rFonts w:ascii="Tahoma" w:hAnsi="Tahoma" w:cs="Tahoma"/>
          <w:sz w:val="20"/>
          <w:szCs w:val="20"/>
        </w:rPr>
      </w:pPr>
      <w:r w:rsidRPr="00DB5B7B">
        <w:rPr>
          <w:rFonts w:ascii="Tahoma" w:hAnsi="Tahoma" w:cs="Tahoma"/>
          <w:sz w:val="20"/>
          <w:szCs w:val="20"/>
        </w:rPr>
        <w:t>Οι ενισχύσεις χορηγούνται για τους ακόλουθους πολιτιστικούς σκοπούς και δραστηριότητες (παράγραφος 2):</w:t>
      </w:r>
    </w:p>
    <w:p w:rsidR="002C707E" w:rsidRPr="002C707E" w:rsidRDefault="002C707E" w:rsidP="00DB5B7B">
      <w:pPr>
        <w:spacing w:after="120" w:line="240" w:lineRule="auto"/>
        <w:ind w:left="360"/>
        <w:jc w:val="both"/>
        <w:rPr>
          <w:rFonts w:ascii="Tahoma" w:hAnsi="Tahoma" w:cs="Tahoma"/>
          <w:sz w:val="20"/>
          <w:szCs w:val="20"/>
        </w:rPr>
      </w:pPr>
      <w:r>
        <w:rPr>
          <w:rFonts w:ascii="Tahoma" w:hAnsi="Tahoma" w:cs="Tahoma"/>
          <w:sz w:val="20"/>
          <w:szCs w:val="20"/>
        </w:rPr>
        <w:t>α)</w:t>
      </w:r>
      <w:r w:rsidRPr="002C707E">
        <w:rPr>
          <w:rFonts w:ascii="Tahoma" w:hAnsi="Tahoma" w:cs="Tahoma"/>
          <w:sz w:val="20"/>
          <w:szCs w:val="20"/>
        </w:rPr>
        <w:t xml:space="preserve"> μουσεία, αρχεία, βιβλιοθήκες, καλλιτεχνικά και πολιτιστικά κέντρα ή χώροι, θέατρα, λυρικές σκηνές, αίθουσες συναυλιών, άλλοι οργανισμοί στον τομέα του ζωντανού θεάματος, ιδρύματα κινηματογραφικής κληρονομιάς και άλλες παρόμοιες καλλιτεχνικές και πολιτιστικές υποδομές, οργανώσεις και ιδρύματα·</w:t>
      </w:r>
    </w:p>
    <w:p w:rsidR="002C707E" w:rsidRPr="002C707E" w:rsidRDefault="002C707E" w:rsidP="00DB5B7B">
      <w:pPr>
        <w:spacing w:after="120" w:line="240" w:lineRule="auto"/>
        <w:ind w:left="360"/>
        <w:jc w:val="both"/>
        <w:rPr>
          <w:rFonts w:ascii="Tahoma" w:hAnsi="Tahoma" w:cs="Tahoma"/>
          <w:sz w:val="20"/>
          <w:szCs w:val="20"/>
        </w:rPr>
      </w:pPr>
      <w:r>
        <w:rPr>
          <w:rFonts w:ascii="Tahoma" w:hAnsi="Tahoma" w:cs="Tahoma"/>
          <w:sz w:val="20"/>
          <w:szCs w:val="20"/>
        </w:rPr>
        <w:t>β</w:t>
      </w:r>
      <w:r w:rsidRPr="002C707E">
        <w:rPr>
          <w:rFonts w:ascii="Tahoma" w:hAnsi="Tahoma" w:cs="Tahoma"/>
          <w:sz w:val="20"/>
          <w:szCs w:val="20"/>
        </w:rPr>
        <w:t>) υλική κληρονομιά, συμπεριλαμβανομένων όλων των μορφών της πολιτιστικής</w:t>
      </w:r>
      <w:r>
        <w:rPr>
          <w:rFonts w:ascii="Tahoma" w:hAnsi="Tahoma" w:cs="Tahoma"/>
          <w:sz w:val="20"/>
          <w:szCs w:val="20"/>
        </w:rPr>
        <w:t xml:space="preserve"> </w:t>
      </w:r>
      <w:r w:rsidRPr="002C707E">
        <w:rPr>
          <w:rFonts w:ascii="Tahoma" w:hAnsi="Tahoma" w:cs="Tahoma"/>
          <w:sz w:val="20"/>
          <w:szCs w:val="20"/>
        </w:rPr>
        <w:t>κληρονομιάς, κινητής ή ακίνητης, των αρχαιολογικών χώρων, των μνημείων, των ιστορικών χώρων και κτιρίων· φυσική κληρονομιά που συνδέεται με την πολιτιστική κληρονομιά ή αναγνωρίζεται επισήμως ως πολιτιστική ή φυσική κληρονομιά από τις αρμόδιες δημόσιες αρχές κράτους μέλους·</w:t>
      </w:r>
    </w:p>
    <w:p w:rsidR="002C707E" w:rsidRPr="002C707E" w:rsidRDefault="002C707E" w:rsidP="00DB5B7B">
      <w:pPr>
        <w:spacing w:after="120" w:line="240" w:lineRule="auto"/>
        <w:ind w:left="360"/>
        <w:jc w:val="both"/>
        <w:rPr>
          <w:rFonts w:ascii="Tahoma" w:hAnsi="Tahoma" w:cs="Tahoma"/>
          <w:sz w:val="20"/>
          <w:szCs w:val="20"/>
        </w:rPr>
      </w:pPr>
      <w:r>
        <w:rPr>
          <w:rFonts w:ascii="Tahoma" w:hAnsi="Tahoma" w:cs="Tahoma"/>
          <w:sz w:val="20"/>
          <w:szCs w:val="20"/>
        </w:rPr>
        <w:t>γ</w:t>
      </w:r>
      <w:r w:rsidRPr="002C707E">
        <w:rPr>
          <w:rFonts w:ascii="Tahoma" w:hAnsi="Tahoma" w:cs="Tahoma"/>
          <w:sz w:val="20"/>
          <w:szCs w:val="20"/>
        </w:rPr>
        <w:t>) άυλη κληρονομιά οποιασδήποτε μορφής, συμπεριλαμβανομένων των εθίμων και της χειροτεχνίας της λαϊκής παράδοσης·</w:t>
      </w:r>
    </w:p>
    <w:p w:rsidR="002C707E" w:rsidRPr="002C707E" w:rsidRDefault="002C707E" w:rsidP="00DB5B7B">
      <w:pPr>
        <w:spacing w:after="120" w:line="240" w:lineRule="auto"/>
        <w:ind w:left="360"/>
        <w:jc w:val="both"/>
        <w:rPr>
          <w:rFonts w:ascii="Tahoma" w:hAnsi="Tahoma" w:cs="Tahoma"/>
          <w:sz w:val="20"/>
          <w:szCs w:val="20"/>
        </w:rPr>
      </w:pPr>
      <w:r>
        <w:rPr>
          <w:rFonts w:ascii="Tahoma" w:hAnsi="Tahoma" w:cs="Tahoma"/>
          <w:sz w:val="20"/>
          <w:szCs w:val="20"/>
        </w:rPr>
        <w:t>δ</w:t>
      </w:r>
      <w:r w:rsidRPr="002C707E">
        <w:rPr>
          <w:rFonts w:ascii="Tahoma" w:hAnsi="Tahoma" w:cs="Tahoma"/>
          <w:sz w:val="20"/>
          <w:szCs w:val="20"/>
        </w:rPr>
        <w:t>) καλλιτεχνικές ή πολιτιστικές εκδηλώσεις και παραστάσεις, φεστιβάλ, εκθέσεις και άλλες παρόμοιες πολιτιστικές δραστηριότητες·</w:t>
      </w:r>
    </w:p>
    <w:p w:rsidR="002C707E" w:rsidRPr="002C707E" w:rsidRDefault="002C707E" w:rsidP="00DB5B7B">
      <w:pPr>
        <w:spacing w:after="120" w:line="240" w:lineRule="auto"/>
        <w:ind w:left="360"/>
        <w:jc w:val="both"/>
        <w:rPr>
          <w:rFonts w:ascii="Tahoma" w:hAnsi="Tahoma" w:cs="Tahoma"/>
          <w:sz w:val="20"/>
          <w:szCs w:val="20"/>
        </w:rPr>
      </w:pPr>
      <w:r>
        <w:rPr>
          <w:rFonts w:ascii="Tahoma" w:hAnsi="Tahoma" w:cs="Tahoma"/>
          <w:sz w:val="20"/>
          <w:szCs w:val="20"/>
        </w:rPr>
        <w:t>ε</w:t>
      </w:r>
      <w:r w:rsidRPr="002C707E">
        <w:rPr>
          <w:rFonts w:ascii="Tahoma" w:hAnsi="Tahoma" w:cs="Tahoma"/>
          <w:sz w:val="20"/>
          <w:szCs w:val="20"/>
        </w:rPr>
        <w:t>) πολιτιστικές και καλλιτεχνικές εκπαιδευτικές δραστηριότητες, καθώς και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rsidR="002C707E" w:rsidRDefault="002C707E" w:rsidP="00DB5B7B">
      <w:pPr>
        <w:spacing w:after="120" w:line="240" w:lineRule="auto"/>
        <w:ind w:left="360"/>
        <w:jc w:val="both"/>
        <w:rPr>
          <w:rFonts w:ascii="Tahoma" w:hAnsi="Tahoma" w:cs="Tahoma"/>
          <w:sz w:val="20"/>
          <w:szCs w:val="20"/>
        </w:rPr>
      </w:pPr>
      <w:r>
        <w:rPr>
          <w:rFonts w:ascii="Tahoma" w:hAnsi="Tahoma" w:cs="Tahoma"/>
          <w:sz w:val="20"/>
          <w:szCs w:val="20"/>
        </w:rPr>
        <w:t>στ</w:t>
      </w:r>
      <w:r w:rsidRPr="002C707E">
        <w:rPr>
          <w:rFonts w:ascii="Tahoma" w:hAnsi="Tahoma" w:cs="Tahoma"/>
          <w:sz w:val="20"/>
          <w:szCs w:val="20"/>
        </w:rPr>
        <w:t>) σύνταξη ή σύνθεση, επεξεργασία, παραγωγή, διανομή, ψηφιοποίηση και έκδοση μουσικών και λογοτεχνικών έργων, συμπεριλαμβανομένων των μεταφράσεων.</w:t>
      </w:r>
    </w:p>
    <w:p w:rsidR="002C707E" w:rsidRPr="00DB5B7B" w:rsidRDefault="002C707E" w:rsidP="00DB5B7B">
      <w:pPr>
        <w:pStyle w:val="a6"/>
        <w:numPr>
          <w:ilvl w:val="0"/>
          <w:numId w:val="19"/>
        </w:numPr>
        <w:spacing w:after="120" w:line="240" w:lineRule="auto"/>
        <w:jc w:val="both"/>
        <w:rPr>
          <w:rFonts w:ascii="Tahoma" w:hAnsi="Tahoma" w:cs="Tahoma"/>
          <w:sz w:val="20"/>
          <w:szCs w:val="20"/>
        </w:rPr>
      </w:pPr>
      <w:r w:rsidRPr="00DB5B7B">
        <w:rPr>
          <w:rFonts w:ascii="Tahoma" w:hAnsi="Tahoma" w:cs="Tahoma"/>
          <w:sz w:val="20"/>
          <w:szCs w:val="20"/>
        </w:rPr>
        <w:t>Οι ενισχύσεις μπορούν να λάβουν τη μορφή (παράγραφος 3):</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α) επενδυτικών ενισχύσεων, συμπεριλαμβανομένων των ενισχύσεων για την κατασκευή ή την αναβάθμιση της πολιτιστικής υποδομής·</w:t>
      </w:r>
    </w:p>
    <w:p w:rsidR="00F105B1" w:rsidRDefault="002C707E" w:rsidP="00DB5B7B">
      <w:pPr>
        <w:spacing w:after="120" w:line="240" w:lineRule="auto"/>
        <w:ind w:firstLine="360"/>
        <w:jc w:val="both"/>
        <w:rPr>
          <w:rFonts w:ascii="Tahoma" w:hAnsi="Tahoma" w:cs="Tahoma"/>
          <w:sz w:val="20"/>
          <w:szCs w:val="20"/>
        </w:rPr>
      </w:pPr>
      <w:r w:rsidRPr="002C707E">
        <w:rPr>
          <w:rFonts w:ascii="Tahoma" w:hAnsi="Tahoma" w:cs="Tahoma"/>
          <w:sz w:val="20"/>
          <w:szCs w:val="20"/>
        </w:rPr>
        <w:t>β) ενισχύσεων λειτουργίας.</w:t>
      </w:r>
    </w:p>
    <w:p w:rsidR="002C707E" w:rsidRPr="00DB5B7B" w:rsidRDefault="002C707E" w:rsidP="00DB5B7B">
      <w:pPr>
        <w:pStyle w:val="a6"/>
        <w:numPr>
          <w:ilvl w:val="0"/>
          <w:numId w:val="19"/>
        </w:numPr>
        <w:spacing w:after="120" w:line="240" w:lineRule="auto"/>
        <w:jc w:val="both"/>
        <w:rPr>
          <w:rFonts w:ascii="Tahoma" w:hAnsi="Tahoma" w:cs="Tahoma"/>
          <w:sz w:val="20"/>
          <w:szCs w:val="20"/>
        </w:rPr>
      </w:pPr>
      <w:r w:rsidRPr="00DB5B7B">
        <w:rPr>
          <w:rFonts w:ascii="Tahoma" w:hAnsi="Tahoma" w:cs="Tahoma"/>
          <w:sz w:val="20"/>
          <w:szCs w:val="20"/>
        </w:rPr>
        <w:t>Για τις επενδυτικές ενισχύσεις, οι επιλέξιμες δαπάνες συνίστανται στο επενδυτικό κόστος σε ενσώματα και άυλα στοιχεία ενεργητικού, μεταξύ των οποίων περιλαμβάνονται (παράγραφος 4):</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α) οι δαπάνες για την κατασκευή, την αναβάθμιση, την απόκτηση, τη συντήρηση ή τη βελτίωση των υποδομών, εφόσον χρησιμοποιούνται κατά το 80% τουλάχιστον της δυναμικότητάς τους ετησίως, τόσο σε χρόνο όσο και σε χώρο, για πολιτιστικούς σκοπούς·</w:t>
      </w:r>
    </w:p>
    <w:p w:rsid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β) οι δαπάνες απόκτησης, συμπεριλαμβανομένης της χρηματοδοτικής μίσθωσης, μεταβίβασης ιδιοκτησίας ή υλικής μετεγκατάστασης της πολιτιστικής</w:t>
      </w:r>
      <w:r>
        <w:rPr>
          <w:rFonts w:ascii="Tahoma" w:hAnsi="Tahoma" w:cs="Tahoma"/>
          <w:sz w:val="20"/>
          <w:szCs w:val="20"/>
        </w:rPr>
        <w:t xml:space="preserve"> κληρονομιάς</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γ) οι δαπάνες για την προστασία, τη διατήρηση, την αποκατάσταση και την ανάπλαση της υλικής και άυλης πολιτιστικής κληρονομιάς, συμπεριλαμβανομένου του επιπλέον κόστους αποθήκευσης υπό κατάλληλες συνθήκες, ειδικών εργαλείων και υλικών, καθώς και οι δαπάνες για τεκμηρίωση, έρευνα, ψηφιοποίηση και δημοσίευση·</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 xml:space="preserve">δ) οι δαπάνες για τη βελτίωση της δυνατότητας πρόσβασης του κοινού στην πολιτιστική κληρονομιά, συμπεριλαμβανομένων των δαπανών για ψηφιοποίηση και άλλες νέες τεχνολογίες, οι δαπάνες για τη βελτίωση της προσπελασιμότητας για τα άτομα με ειδικές ανάγκες (ιδίως, ράμπες και ανελκυστήρες για τα άτομα με αναπηρία, ενδείξεις σε γραφή Braille και διαδραστικές εκθέσεις σε μουσεία), και για την </w:t>
      </w:r>
      <w:r w:rsidRPr="002C707E">
        <w:rPr>
          <w:rFonts w:ascii="Tahoma" w:hAnsi="Tahoma" w:cs="Tahoma"/>
          <w:sz w:val="20"/>
          <w:szCs w:val="20"/>
        </w:rPr>
        <w:lastRenderedPageBreak/>
        <w:t>προαγωγή της πολιτιστικής πολυμορφίας όσον αφορά τις παραστάσεις, τα προγράμματα και τους επισκέπτες·</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ε) οι δαπάνες για πολιτιστικά έργα και δραστηριότητες, για προγράμματα συνεργασίας και ανταλλαγών, καθώς και υποτροφίες, συμπεριλαμβανομένων των δαπανών για διαδικασίες επιλογής, των δαπανών προώθησης και των δαπανών που προκύπτουν άμεσα από το έργο.</w:t>
      </w:r>
    </w:p>
    <w:p w:rsidR="002C707E" w:rsidRPr="00DB5B7B" w:rsidRDefault="002C707E" w:rsidP="00DB5B7B">
      <w:pPr>
        <w:pStyle w:val="a6"/>
        <w:numPr>
          <w:ilvl w:val="0"/>
          <w:numId w:val="19"/>
        </w:numPr>
        <w:spacing w:after="120" w:line="240" w:lineRule="auto"/>
        <w:jc w:val="both"/>
        <w:rPr>
          <w:rFonts w:ascii="Tahoma" w:hAnsi="Tahoma" w:cs="Tahoma"/>
          <w:sz w:val="20"/>
          <w:szCs w:val="20"/>
        </w:rPr>
      </w:pPr>
      <w:r w:rsidRPr="00DB5B7B">
        <w:rPr>
          <w:rFonts w:ascii="Tahoma" w:hAnsi="Tahoma" w:cs="Tahoma"/>
          <w:sz w:val="20"/>
          <w:szCs w:val="20"/>
        </w:rPr>
        <w:t>Για τις ενισχύσεις λειτουργίας, επιλέξιμες είναι οι ακόλουθες δαπάνες (παράγραφος 5):</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α) οι δαπάνες των πολιτιστικών ιδρυμάτων ή του χώρου πολιτιστικής κληρονομιάς που συνδέονται με διαρκείς ή περιοδικές δραστηριότητες, στις οποίες περιλαμβάνονται εκθέσεις, παραστάσεις και εκδηλώσεις, καθώς και συναφείς πολιτιστικές δραστηριότητες που εντάσσονται στη συνήθη πορεία των εργασιών·</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β) οι δαπάνες για πολιτιστικές και καλλιτεχνικές εκπαιδευτικές δραστηριότητες, καθώς και για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rsidR="00D346D5" w:rsidRPr="00D346D5"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γ) οι δαπάνες για τη βελτίωση της πρόσβασης του κοινού στα πολιτιστικά ιδρύματα ή τους χώρους πολιτιστικής κληρονομιάς και στις δραστηριότητες,</w:t>
      </w:r>
      <w:r w:rsidR="00D346D5" w:rsidRPr="00D346D5">
        <w:t xml:space="preserve"> </w:t>
      </w:r>
      <w:r w:rsidR="00D346D5" w:rsidRPr="00D346D5">
        <w:rPr>
          <w:rFonts w:ascii="Tahoma" w:hAnsi="Tahoma" w:cs="Tahoma"/>
          <w:sz w:val="20"/>
          <w:szCs w:val="20"/>
        </w:rPr>
        <w:t>συμπεριλαμβανομένου του κόστους της ψηφιοποίησης και της χρήσης νέων τεχνολογιών, καθώς και οι δαπάνες για τη βελτίωση της προσπελασιμότητας για τα άτομα με αναπηρία·</w:t>
      </w:r>
    </w:p>
    <w:p w:rsidR="00D346D5" w:rsidRPr="00D346D5" w:rsidRDefault="00D346D5" w:rsidP="00DB5B7B">
      <w:pPr>
        <w:spacing w:after="120" w:line="240" w:lineRule="auto"/>
        <w:ind w:left="360"/>
        <w:jc w:val="both"/>
        <w:rPr>
          <w:rFonts w:ascii="Tahoma" w:hAnsi="Tahoma" w:cs="Tahoma"/>
          <w:sz w:val="20"/>
          <w:szCs w:val="20"/>
        </w:rPr>
      </w:pPr>
      <w:r w:rsidRPr="00D346D5">
        <w:rPr>
          <w:rFonts w:ascii="Tahoma" w:hAnsi="Tahoma" w:cs="Tahoma"/>
          <w:sz w:val="20"/>
          <w:szCs w:val="20"/>
        </w:rPr>
        <w:t>δ) οι δαπάνες λειτουργίας που συνδέονται άμεσα με το πολιτιστικό έργο ή δραστηριότητα, όπως η απλή ή χρηματοδοτική μίσθωση ακινήτων και χώρων πολιτιστικών εκδηλώσεων, τα έξοδα ταξιδίου, υλικά και προμήθειες που σχετίζονται άμεσα με το πολιτιστικό έργο ή τη δραστηριότητα, αρχιτεκτονικές δομές για εκθέσεις και θεατρικές σκηνές, δανεισμός, μίσθωση και απόσβεση εργαλείων, λογισμικού και εξοπλισμού, οι δαπάνες για τα δικαιώματα πρόσβασης σε έργα καλυπτόμενα από δικαιώματα πνευματικής ιδιοκτησίας και άλλα περιεχόμενα προστατευόμενα από δικαιώματα διανοητικής ιδιοκτησίας, οι δαπάνες προώθησης και οι δαπάνες που προκύπτουν άμεσα από το έργο ή τη δραστηριότητα· αποσβέσεις και έξοδα χρηματοδότησης είναι επιλέξιμα μόνον εάν δεν έχουν καλυφθεί από επενδυτική ενίσχυση·</w:t>
      </w:r>
    </w:p>
    <w:p w:rsidR="00D346D5" w:rsidRPr="00D346D5" w:rsidRDefault="00D346D5" w:rsidP="00DB5B7B">
      <w:pPr>
        <w:spacing w:after="120" w:line="240" w:lineRule="auto"/>
        <w:ind w:left="360"/>
        <w:jc w:val="both"/>
        <w:rPr>
          <w:rFonts w:ascii="Tahoma" w:hAnsi="Tahoma" w:cs="Tahoma"/>
          <w:sz w:val="20"/>
          <w:szCs w:val="20"/>
        </w:rPr>
      </w:pPr>
      <w:r w:rsidRPr="00D346D5">
        <w:rPr>
          <w:rFonts w:ascii="Tahoma" w:hAnsi="Tahoma" w:cs="Tahoma"/>
          <w:sz w:val="20"/>
          <w:szCs w:val="20"/>
        </w:rPr>
        <w:t>ε) οι δαπάνες για το προσωπικό που απασχολείται στο πολιτιστικό ίδρυμα, τον χώρο πολιτιστικής κληρονομιάς ή το έργο·</w:t>
      </w:r>
    </w:p>
    <w:p w:rsidR="002C707E" w:rsidRDefault="00D346D5" w:rsidP="00DB5B7B">
      <w:pPr>
        <w:spacing w:after="120" w:line="240" w:lineRule="auto"/>
        <w:ind w:left="360"/>
        <w:jc w:val="both"/>
        <w:rPr>
          <w:rFonts w:ascii="Tahoma" w:hAnsi="Tahoma" w:cs="Tahoma"/>
          <w:sz w:val="20"/>
          <w:szCs w:val="20"/>
        </w:rPr>
      </w:pPr>
      <w:r w:rsidRPr="00D346D5">
        <w:rPr>
          <w:rFonts w:ascii="Tahoma" w:hAnsi="Tahoma" w:cs="Tahoma"/>
          <w:sz w:val="20"/>
          <w:szCs w:val="20"/>
        </w:rPr>
        <w:t>στ) οι δαπάνες για συμβουλευτικές και υποστηρικτικές υπηρεσίες που παρέχονται από εξωτερικούς συμβούλους και παρόχους υπηρεσιών, οι οποίες προκύπτουν άμεσα από το έργο.</w:t>
      </w:r>
    </w:p>
    <w:p w:rsidR="00F105B1" w:rsidRDefault="00F105B1" w:rsidP="00DB5B7B">
      <w:pPr>
        <w:pStyle w:val="a6"/>
        <w:numPr>
          <w:ilvl w:val="0"/>
          <w:numId w:val="19"/>
        </w:numPr>
        <w:spacing w:after="120" w:line="240" w:lineRule="auto"/>
        <w:jc w:val="both"/>
        <w:rPr>
          <w:rFonts w:ascii="Tahoma" w:hAnsi="Tahoma" w:cs="Tahoma"/>
          <w:sz w:val="20"/>
          <w:szCs w:val="20"/>
        </w:rPr>
      </w:pPr>
      <w:r w:rsidRPr="00F105B1">
        <w:rPr>
          <w:rFonts w:ascii="Tahoma" w:hAnsi="Tahoma" w:cs="Tahoma"/>
          <w:sz w:val="20"/>
          <w:szCs w:val="20"/>
        </w:rPr>
        <w:t>Για τις επενδυτικές ενισχύσεις, το ποσό της ενίσχυσης δεν υπερβαίνει τη διαφορά μεταξύ των επιλέξιμων δαπανών και του κέρδους εκμετάλλευσης της επένδυσης. Το κέρδος εκμετάλλευσης αφαιρείται από τις επιλέξιμες δαπάνες εκ των προτέρων, βάσει εύλογων προβλέψεων, ή μέσω μηχανισμού ανάκτησης. Ο φορέας εκμετάλλευσης της υποδομής επιτρέπεται να διατηρεί ένα εύλογο κέρδος κατά τη διάρκεια της αντίστοιχης περιόδου (παράγραφος 6).</w:t>
      </w:r>
    </w:p>
    <w:p w:rsidR="00F105B1" w:rsidRDefault="00F105B1" w:rsidP="00DB5B7B">
      <w:pPr>
        <w:pStyle w:val="a6"/>
        <w:numPr>
          <w:ilvl w:val="0"/>
          <w:numId w:val="19"/>
        </w:numPr>
        <w:spacing w:after="120" w:line="240" w:lineRule="auto"/>
        <w:jc w:val="both"/>
        <w:rPr>
          <w:rFonts w:ascii="Tahoma" w:hAnsi="Tahoma" w:cs="Tahoma"/>
          <w:sz w:val="20"/>
          <w:szCs w:val="20"/>
        </w:rPr>
      </w:pPr>
      <w:r w:rsidRPr="00F105B1">
        <w:rPr>
          <w:rFonts w:ascii="Tahoma" w:hAnsi="Tahoma" w:cs="Tahoma"/>
          <w:sz w:val="20"/>
          <w:szCs w:val="20"/>
        </w:rPr>
        <w:t>Για τις ενισχύσεις λειτουργίας, το ποσό της ενίσχυσης δεν υπερβαίνει το ποσό που είναι απαραίτητο για την κάλυψη των ζημιών εκμετάλλευσης και ένα εύλογο κέρδος κατά τη σχετική περίοδο. Αυτό εξασφαλίζεται εκ των προτέρων, βάσει εύλογων προβλέψεων, ή μέσω μηχανισμού ανάκτησης (παράγραφος 7).</w:t>
      </w:r>
    </w:p>
    <w:p w:rsidR="00F105B1" w:rsidRDefault="00F105B1" w:rsidP="00DB5B7B">
      <w:pPr>
        <w:pStyle w:val="a6"/>
        <w:numPr>
          <w:ilvl w:val="0"/>
          <w:numId w:val="19"/>
        </w:numPr>
        <w:spacing w:after="120" w:line="240" w:lineRule="auto"/>
        <w:jc w:val="both"/>
        <w:rPr>
          <w:rFonts w:ascii="Tahoma" w:hAnsi="Tahoma" w:cs="Tahoma"/>
          <w:sz w:val="20"/>
          <w:szCs w:val="20"/>
        </w:rPr>
      </w:pPr>
      <w:r w:rsidRPr="00F105B1">
        <w:rPr>
          <w:rFonts w:ascii="Tahoma" w:hAnsi="Tahoma" w:cs="Tahoma"/>
          <w:sz w:val="20"/>
          <w:szCs w:val="20"/>
        </w:rPr>
        <w:t xml:space="preserve">Για τις ενισχύσεις που δεν υπερβαίνουν το 1 εκατ. ευρώ, το μέγιστο ποσό </w:t>
      </w:r>
      <w:r>
        <w:rPr>
          <w:rFonts w:ascii="Tahoma" w:hAnsi="Tahoma" w:cs="Tahoma"/>
          <w:sz w:val="20"/>
          <w:szCs w:val="20"/>
        </w:rPr>
        <w:t xml:space="preserve">της </w:t>
      </w:r>
      <w:r w:rsidRPr="00F105B1">
        <w:rPr>
          <w:rFonts w:ascii="Tahoma" w:hAnsi="Tahoma" w:cs="Tahoma"/>
          <w:sz w:val="20"/>
          <w:szCs w:val="20"/>
        </w:rPr>
        <w:t>ενίσχυσης μπορεί να καθοριστεί, αντί με τη μέθοδο που αναφέρεται στις παραγράφους 6 και 7, στο 80% των επιλέξιμων δαπανών (παράγραφος 9).</w:t>
      </w:r>
    </w:p>
    <w:p w:rsidR="00F105B1" w:rsidRDefault="00F105B1" w:rsidP="00DB5B7B">
      <w:pPr>
        <w:pStyle w:val="a6"/>
        <w:numPr>
          <w:ilvl w:val="0"/>
          <w:numId w:val="19"/>
        </w:numPr>
        <w:spacing w:after="120" w:line="240" w:lineRule="auto"/>
        <w:jc w:val="both"/>
        <w:rPr>
          <w:rFonts w:ascii="Tahoma" w:hAnsi="Tahoma" w:cs="Tahoma"/>
          <w:sz w:val="20"/>
          <w:szCs w:val="20"/>
        </w:rPr>
      </w:pPr>
      <w:r w:rsidRPr="00F105B1">
        <w:rPr>
          <w:rFonts w:ascii="Tahoma" w:hAnsi="Tahoma" w:cs="Tahoma"/>
          <w:sz w:val="20"/>
          <w:szCs w:val="20"/>
        </w:rPr>
        <w:t>Για την έκδοση μουσικών και λογοτεχνικών έργων, όπως ορίζονται στην παράγραφο 2 στοιχείο στ), το μέγιστο ποσό της ενίσχυσης δεν υπερβαίνει είτε τη διαφορά μεταξύ των επιλέξιμων δαπανών και των προεξοφλημένων εσόδων του έργου είτε το 70% των επιλέξιμων δαπανών. Τα έσοδα αφαιρούνται από τις επιλέξιμες δαπάνες εκ των προτέρων ή με μηχανισμό ανάκτησης. Επιλέξιμες είναι οι δαπάνες για την έκδοση μουσικών και λογοτεχνικών έργων, συμπεριλαμβανομένων των αμοιβών των δημιουργών (έξοδα πνευματικών δικαιωμάτων), των αμοιβών των μεταφραστών, των λοιπών εκδοτικών δαπανών (αναθεώρηση, διόρθωση, επιμέλεια), των εξόδων σχεδιασμού και προεκτύπωσης και των εξόδων εκτύπωσης ή ηλεκτρονικής έκδοσης (παράγραφος 9).</w:t>
      </w:r>
    </w:p>
    <w:p w:rsidR="00F105B1" w:rsidRPr="00DB5B7B" w:rsidRDefault="00F105B1" w:rsidP="00DB5B7B">
      <w:pPr>
        <w:pStyle w:val="a6"/>
        <w:numPr>
          <w:ilvl w:val="0"/>
          <w:numId w:val="19"/>
        </w:numPr>
        <w:spacing w:after="120" w:line="240" w:lineRule="auto"/>
        <w:jc w:val="both"/>
        <w:rPr>
          <w:rFonts w:ascii="Tahoma" w:hAnsi="Tahoma" w:cs="Tahoma"/>
          <w:sz w:val="20"/>
          <w:szCs w:val="20"/>
        </w:rPr>
      </w:pPr>
      <w:r w:rsidRPr="00F105B1">
        <w:rPr>
          <w:rFonts w:ascii="Tahoma" w:hAnsi="Tahoma" w:cs="Tahoma"/>
          <w:sz w:val="20"/>
          <w:szCs w:val="20"/>
        </w:rPr>
        <w:lastRenderedPageBreak/>
        <w:t>Οι ενισχύσεις προς τον Τύπο και τα περιοδικά, είτε εκδίδονται σε έντυπη είτε σε ηλεκτρονική μορφή, δεν είναι επιλέξιμες δυνάμει του παρόντος άρθρου (παράγραφος 10).</w:t>
      </w:r>
    </w:p>
    <w:p w:rsidR="00EA32F4" w:rsidRPr="00637C10" w:rsidRDefault="00EA32F4" w:rsidP="00637C10">
      <w:pPr>
        <w:spacing w:after="120" w:line="240" w:lineRule="auto"/>
        <w:jc w:val="both"/>
        <w:rPr>
          <w:rFonts w:ascii="Tahoma" w:hAnsi="Tahoma" w:cs="Tahoma"/>
          <w:sz w:val="20"/>
          <w:szCs w:val="20"/>
        </w:rPr>
      </w:pPr>
    </w:p>
    <w:p w:rsidR="00251A36" w:rsidRPr="00637C10" w:rsidRDefault="00251A36" w:rsidP="00637C10">
      <w:pPr>
        <w:spacing w:after="120" w:line="240" w:lineRule="auto"/>
        <w:jc w:val="both"/>
        <w:rPr>
          <w:rFonts w:ascii="Tahoma" w:hAnsi="Tahoma" w:cs="Tahoma"/>
          <w:b/>
          <w:sz w:val="20"/>
          <w:szCs w:val="20"/>
          <w:u w:val="single"/>
        </w:rPr>
      </w:pPr>
      <w:r w:rsidRPr="00637C10">
        <w:rPr>
          <w:rFonts w:ascii="Tahoma" w:hAnsi="Tahoma" w:cs="Tahoma"/>
          <w:b/>
          <w:sz w:val="20"/>
          <w:szCs w:val="20"/>
          <w:u w:val="single"/>
        </w:rPr>
        <w:t xml:space="preserve">Άρθρο </w:t>
      </w:r>
      <w:r w:rsidR="006F78AD">
        <w:rPr>
          <w:rFonts w:ascii="Tahoma" w:hAnsi="Tahoma" w:cs="Tahoma"/>
          <w:b/>
          <w:sz w:val="20"/>
          <w:szCs w:val="20"/>
          <w:u w:val="single"/>
        </w:rPr>
        <w:t>55</w:t>
      </w:r>
      <w:r w:rsidR="006F78AD" w:rsidRPr="00637C10">
        <w:rPr>
          <w:rFonts w:ascii="Tahoma" w:hAnsi="Tahoma" w:cs="Tahoma"/>
          <w:b/>
          <w:sz w:val="20"/>
          <w:szCs w:val="20"/>
          <w:u w:val="single"/>
        </w:rPr>
        <w:t xml:space="preserve"> </w:t>
      </w:r>
      <w:r w:rsidR="00393486">
        <w:rPr>
          <w:rFonts w:ascii="Tahoma" w:hAnsi="Tahoma" w:cs="Tahoma"/>
          <w:b/>
          <w:sz w:val="20"/>
          <w:szCs w:val="20"/>
          <w:u w:val="single"/>
        </w:rPr>
        <w:t>–</w:t>
      </w:r>
      <w:r w:rsidRPr="00637C10">
        <w:rPr>
          <w:rFonts w:ascii="Tahoma" w:hAnsi="Tahoma" w:cs="Tahoma"/>
          <w:b/>
          <w:sz w:val="20"/>
          <w:szCs w:val="20"/>
          <w:u w:val="single"/>
        </w:rPr>
        <w:t xml:space="preserve"> </w:t>
      </w:r>
      <w:r w:rsidR="00393486">
        <w:rPr>
          <w:rFonts w:ascii="Tahoma" w:hAnsi="Tahoma" w:cs="Tahoma"/>
          <w:b/>
          <w:sz w:val="20"/>
          <w:szCs w:val="20"/>
          <w:u w:val="single"/>
        </w:rPr>
        <w:t>Ενισχύσεις για αθλητικές υποδομές και πολυλειτουργικές ψυχαγωγικές υποδομές</w:t>
      </w:r>
    </w:p>
    <w:p w:rsidR="00303A09" w:rsidRDefault="00EE7830" w:rsidP="00DB5B7B">
      <w:pPr>
        <w:pStyle w:val="a6"/>
        <w:numPr>
          <w:ilvl w:val="0"/>
          <w:numId w:val="25"/>
        </w:numPr>
        <w:spacing w:after="120" w:line="240" w:lineRule="auto"/>
        <w:jc w:val="both"/>
        <w:rPr>
          <w:rFonts w:ascii="Tahoma" w:hAnsi="Tahoma" w:cs="Tahoma"/>
          <w:sz w:val="20"/>
          <w:szCs w:val="20"/>
        </w:rPr>
      </w:pPr>
      <w:r w:rsidRPr="00DB5B7B">
        <w:rPr>
          <w:rFonts w:ascii="Tahoma" w:hAnsi="Tahoma" w:cs="Tahoma"/>
          <w:sz w:val="20"/>
          <w:szCs w:val="20"/>
        </w:rPr>
        <w:t xml:space="preserve">Οι ενισχύσεις για </w:t>
      </w:r>
      <w:r w:rsidR="006F78AD" w:rsidRPr="00DB5B7B">
        <w:rPr>
          <w:rFonts w:ascii="Tahoma" w:hAnsi="Tahoma" w:cs="Tahoma"/>
          <w:sz w:val="20"/>
          <w:szCs w:val="20"/>
        </w:rPr>
        <w:t xml:space="preserve">αθλητικές υποδομές ή πολυλειτουργικές ψυχαγωγικές υποδομές </w:t>
      </w:r>
      <w:r w:rsidRPr="00DB5B7B">
        <w:rPr>
          <w:rFonts w:ascii="Tahoma" w:hAnsi="Tahoma" w:cs="Tahoma"/>
          <w:sz w:val="20"/>
          <w:szCs w:val="20"/>
        </w:rPr>
        <w:t>συμβιβάζονται με την εσωτερική αγορά κατά την έννοια του άρθρου 107 παράγραφος 3 της Συνθήκης και απαλλάσσονται από την υποχρέωση κοινοποίησης που προβλέπεται στο άρθρο 108 παράγραφος 3 της Συνθήκης, εφόσον πληρούνται οι προϋποθέσεις του παρόντος άρθρου και του κεφαλαίου Ι</w:t>
      </w:r>
      <w:r w:rsidR="008A6B1C" w:rsidRPr="00DB5B7B">
        <w:rPr>
          <w:rFonts w:ascii="Tahoma" w:hAnsi="Tahoma" w:cs="Tahoma"/>
          <w:sz w:val="20"/>
          <w:szCs w:val="20"/>
        </w:rPr>
        <w:t xml:space="preserve"> του ΓΑΚ</w:t>
      </w:r>
      <w:r w:rsidRPr="00DB5B7B">
        <w:rPr>
          <w:rFonts w:ascii="Tahoma" w:hAnsi="Tahoma" w:cs="Tahoma"/>
          <w:sz w:val="20"/>
          <w:szCs w:val="20"/>
        </w:rPr>
        <w:t>.</w:t>
      </w:r>
    </w:p>
    <w:p w:rsidR="00303A09" w:rsidRPr="00303A09" w:rsidRDefault="00EE7830" w:rsidP="00303A09">
      <w:pPr>
        <w:pStyle w:val="a6"/>
        <w:numPr>
          <w:ilvl w:val="0"/>
          <w:numId w:val="25"/>
        </w:numPr>
        <w:spacing w:after="120" w:line="240" w:lineRule="auto"/>
        <w:jc w:val="both"/>
        <w:rPr>
          <w:rFonts w:ascii="Tahoma" w:hAnsi="Tahoma" w:cs="Tahoma"/>
          <w:sz w:val="20"/>
          <w:szCs w:val="20"/>
        </w:rPr>
      </w:pPr>
      <w:r w:rsidRPr="00DB5B7B">
        <w:rPr>
          <w:rFonts w:ascii="Tahoma" w:hAnsi="Tahoma" w:cs="Tahoma"/>
          <w:sz w:val="20"/>
          <w:szCs w:val="20"/>
        </w:rPr>
        <w:t xml:space="preserve"> </w:t>
      </w:r>
      <w:r w:rsidR="00303A09" w:rsidRPr="00303A09">
        <w:rPr>
          <w:rFonts w:ascii="Tahoma" w:hAnsi="Tahoma" w:cs="Tahoma"/>
          <w:sz w:val="20"/>
          <w:szCs w:val="20"/>
        </w:rPr>
        <w:t>Αθλητικές υποδομές ή πολυλειτουργικές ψυχαγωγικές υποδομές</w:t>
      </w:r>
    </w:p>
    <w:p w:rsidR="00251A36" w:rsidRDefault="00303A09" w:rsidP="00DB5B7B">
      <w:pPr>
        <w:pStyle w:val="a6"/>
        <w:spacing w:after="120" w:line="240" w:lineRule="auto"/>
        <w:ind w:left="360"/>
        <w:jc w:val="both"/>
        <w:rPr>
          <w:rFonts w:ascii="Tahoma" w:hAnsi="Tahoma" w:cs="Tahoma"/>
          <w:sz w:val="20"/>
          <w:szCs w:val="20"/>
        </w:rPr>
      </w:pPr>
      <w:r w:rsidRPr="00303A09">
        <w:rPr>
          <w:rFonts w:ascii="Tahoma" w:hAnsi="Tahoma" w:cs="Tahoma"/>
          <w:sz w:val="20"/>
          <w:szCs w:val="20"/>
        </w:rPr>
        <w:t>Οι πολυλειτουργικές ψυχαγωγικές υποδομές, με εξαίρεση τα πάρκα αναψυχής και τις ξενοδοχειακές εγκαταστάσεις, αποτελούν εγκαταστάσεις ψυχαγωγίας πολυλειτουργικού χαρακτήρα και προσφέρουν, ιδίως, πολιτιστικές και ψυχαγωγικές υπηρεσίες (παράγραφος 3).</w:t>
      </w:r>
    </w:p>
    <w:p w:rsidR="00303A09" w:rsidRDefault="00303A09" w:rsidP="00DB5B7B">
      <w:pPr>
        <w:pStyle w:val="a6"/>
        <w:numPr>
          <w:ilvl w:val="0"/>
          <w:numId w:val="25"/>
        </w:numPr>
        <w:spacing w:after="120" w:line="240" w:lineRule="auto"/>
        <w:jc w:val="both"/>
        <w:rPr>
          <w:rFonts w:ascii="Tahoma" w:hAnsi="Tahoma" w:cs="Tahoma"/>
          <w:sz w:val="20"/>
          <w:szCs w:val="20"/>
        </w:rPr>
      </w:pPr>
      <w:r w:rsidRPr="00303A09">
        <w:rPr>
          <w:rFonts w:ascii="Tahoma" w:hAnsi="Tahoma" w:cs="Tahoma"/>
          <w:sz w:val="20"/>
          <w:szCs w:val="20"/>
        </w:rPr>
        <w:t>Οι αθλητικές υποδομές δεν χρησιμοποιούνται αποκλειστικά από έναν μόνο χρήστη στον τομέα του επαγγελματικού αθλητισμού. Η χρήση των αθλητικών υποδομών από άλλους χρήστες του επαγγελματικού ή μη αθλητισμού αντιπροσωπεύει ετησίως τουλάχιστον το 20% του χρόνου χρήσης. Εάν οι υποδομές χρησιμοποιούνται από πολλούς χρήστες ταυτόχρονα, υπολογίζονται τα κλάσματα που αντιστοιχούν στον χρόνο χρήσης (παράγραφος 2).</w:t>
      </w:r>
    </w:p>
    <w:p w:rsidR="00303A09" w:rsidRDefault="00303A09" w:rsidP="00DB5B7B">
      <w:pPr>
        <w:pStyle w:val="a6"/>
        <w:numPr>
          <w:ilvl w:val="0"/>
          <w:numId w:val="25"/>
        </w:numPr>
        <w:spacing w:after="120" w:line="240" w:lineRule="auto"/>
        <w:jc w:val="both"/>
        <w:rPr>
          <w:rFonts w:ascii="Tahoma" w:hAnsi="Tahoma" w:cs="Tahoma"/>
          <w:sz w:val="20"/>
          <w:szCs w:val="20"/>
        </w:rPr>
      </w:pPr>
      <w:r w:rsidRPr="00303A09">
        <w:rPr>
          <w:rFonts w:ascii="Tahoma" w:hAnsi="Tahoma" w:cs="Tahoma"/>
          <w:sz w:val="20"/>
          <w:szCs w:val="20"/>
        </w:rPr>
        <w:t>Η πρόσβαση στις αθλητικές εγκαταστάσεις ή στις πολυλειτουργικές ψυχαγωγικές υποδομές είναι ανοικτή σε διάφορους χρήστες και παρέχεται με διαφάνεια και άνευ διακρίσεων. Οι επιχειρήσεις που έχουν χρηματοδοτήσει τουλάχιστον το 30% των επενδυτικών δαπανών της υποδομής μπορούν να έχουν προτιμησιακή πρόσβαση με ευνοϊκότερους όρους, εφόσον οι όροι αυτοί δημοσιοποιούνται (παράγραφος 4).</w:t>
      </w:r>
    </w:p>
    <w:p w:rsidR="00303A09" w:rsidRDefault="00303A09" w:rsidP="00DB5B7B">
      <w:pPr>
        <w:pStyle w:val="a6"/>
        <w:numPr>
          <w:ilvl w:val="0"/>
          <w:numId w:val="25"/>
        </w:numPr>
        <w:spacing w:after="120" w:line="240" w:lineRule="auto"/>
        <w:jc w:val="both"/>
        <w:rPr>
          <w:rFonts w:ascii="Tahoma" w:hAnsi="Tahoma" w:cs="Tahoma"/>
          <w:sz w:val="20"/>
          <w:szCs w:val="20"/>
        </w:rPr>
      </w:pPr>
      <w:r w:rsidRPr="00303A09">
        <w:rPr>
          <w:rFonts w:ascii="Tahoma" w:hAnsi="Tahoma" w:cs="Tahoma"/>
          <w:sz w:val="20"/>
          <w:szCs w:val="20"/>
        </w:rPr>
        <w:t>Εάν οι αθλητικές υποδομές χρησιμοποιούνται από επαγγελματικά αθλητικά σωματεία, τα κράτη μέλη μεριμνούν ώστε να δημοσιοποιούνται οι όροι τιμολόγησης για τη χρήση των υποδομών αυτών (παράγραφος 5).</w:t>
      </w:r>
    </w:p>
    <w:p w:rsidR="00303A09" w:rsidRPr="00DB5B7B" w:rsidRDefault="00303A09" w:rsidP="00DB5B7B">
      <w:pPr>
        <w:pStyle w:val="a6"/>
        <w:numPr>
          <w:ilvl w:val="0"/>
          <w:numId w:val="25"/>
        </w:numPr>
        <w:spacing w:after="120" w:line="240" w:lineRule="auto"/>
        <w:jc w:val="both"/>
        <w:rPr>
          <w:rFonts w:ascii="Tahoma" w:hAnsi="Tahoma" w:cs="Tahoma"/>
          <w:sz w:val="20"/>
          <w:szCs w:val="20"/>
        </w:rPr>
      </w:pPr>
      <w:r w:rsidRPr="00303A09">
        <w:rPr>
          <w:rFonts w:ascii="Tahoma" w:hAnsi="Tahoma" w:cs="Tahoma"/>
          <w:sz w:val="20"/>
          <w:szCs w:val="20"/>
        </w:rPr>
        <w:t>Κάθε παραχώρηση ή άλλη ανάθεση σε τρίτο μέρος για την κατασκευή, την αναβάθμιση και/ή τη λειτουργία της αθλητικής υποδομής ή της πολυλειτουργικής ψυχαγωγικής υποδομής γίνεται με ανοικτή διαδικασία, με διαφάνεια και άνευ διακρίσεων, λαμβανομένων δεόντως υπόψη των ισχυόντων κανόνων σύναψης δημόσιων συμβάσεων (παράγραφος 6).</w:t>
      </w:r>
    </w:p>
    <w:p w:rsidR="00303A09" w:rsidRPr="00DB5B7B" w:rsidRDefault="00303A09" w:rsidP="00DB5B7B">
      <w:pPr>
        <w:pStyle w:val="a6"/>
        <w:numPr>
          <w:ilvl w:val="0"/>
          <w:numId w:val="25"/>
        </w:numPr>
        <w:spacing w:after="120" w:line="240" w:lineRule="auto"/>
        <w:jc w:val="both"/>
        <w:rPr>
          <w:rFonts w:ascii="Tahoma" w:hAnsi="Tahoma" w:cs="Tahoma"/>
          <w:sz w:val="20"/>
          <w:szCs w:val="20"/>
        </w:rPr>
      </w:pPr>
      <w:r w:rsidRPr="00DB5B7B">
        <w:rPr>
          <w:rFonts w:ascii="Tahoma" w:hAnsi="Tahoma" w:cs="Tahoma"/>
          <w:sz w:val="20"/>
          <w:szCs w:val="20"/>
        </w:rPr>
        <w:t>Οι ενισχύσεις μπορούν να λάβουν τη μορφή (παράγραφος 7):</w:t>
      </w:r>
    </w:p>
    <w:p w:rsidR="00303A09" w:rsidRPr="00303A09" w:rsidRDefault="00303A09" w:rsidP="00DB5B7B">
      <w:pPr>
        <w:spacing w:after="120" w:line="240" w:lineRule="auto"/>
        <w:ind w:left="360"/>
        <w:jc w:val="both"/>
        <w:rPr>
          <w:rFonts w:ascii="Tahoma" w:hAnsi="Tahoma" w:cs="Tahoma"/>
          <w:sz w:val="20"/>
          <w:szCs w:val="20"/>
        </w:rPr>
      </w:pPr>
      <w:r w:rsidRPr="00303A09">
        <w:rPr>
          <w:rFonts w:ascii="Tahoma" w:hAnsi="Tahoma" w:cs="Tahoma"/>
          <w:sz w:val="20"/>
          <w:szCs w:val="20"/>
        </w:rPr>
        <w:t>α) επενδυτικών ενισχύσεων, συμπεριλαμβανομένων των ενισχύσεων για την κατασκευή ή την αναβάθμιση αθλητικών υποδομών και πολυλειτουργικών ψυχαγωγικών υποδομών·</w:t>
      </w:r>
    </w:p>
    <w:p w:rsidR="00303A09" w:rsidRDefault="00303A09" w:rsidP="00DB5B7B">
      <w:pPr>
        <w:pStyle w:val="a6"/>
        <w:numPr>
          <w:ilvl w:val="0"/>
          <w:numId w:val="25"/>
        </w:numPr>
        <w:spacing w:after="120" w:line="240" w:lineRule="auto"/>
        <w:jc w:val="both"/>
        <w:rPr>
          <w:rFonts w:ascii="Tahoma" w:hAnsi="Tahoma" w:cs="Tahoma"/>
          <w:sz w:val="20"/>
          <w:szCs w:val="20"/>
        </w:rPr>
      </w:pPr>
      <w:r w:rsidRPr="00303A09">
        <w:rPr>
          <w:rFonts w:ascii="Tahoma" w:hAnsi="Tahoma" w:cs="Tahoma"/>
          <w:sz w:val="20"/>
          <w:szCs w:val="20"/>
        </w:rPr>
        <w:t>β) ενισχύσεων λειτουργίας για αθλητικές υποδομέςΓια τις επενδυτικές ενισχύσεις σε αθλητικές υποδομές και πολυλειτουργικές ψυχαγωγικές υποδομές, επιλέξιμες δαπάνες είναι οι επενδυτικές δαπάνες σε ενσώματα και άυλα στοιχεία ενεργητικού (παράγραφος 8).</w:t>
      </w:r>
    </w:p>
    <w:p w:rsidR="00303A09" w:rsidRDefault="00303A09" w:rsidP="00DB5B7B">
      <w:pPr>
        <w:pStyle w:val="a6"/>
        <w:numPr>
          <w:ilvl w:val="0"/>
          <w:numId w:val="25"/>
        </w:numPr>
        <w:spacing w:after="120" w:line="240" w:lineRule="auto"/>
        <w:jc w:val="both"/>
        <w:rPr>
          <w:rFonts w:ascii="Tahoma" w:hAnsi="Tahoma" w:cs="Tahoma"/>
          <w:sz w:val="20"/>
          <w:szCs w:val="20"/>
        </w:rPr>
      </w:pPr>
      <w:r w:rsidRPr="00303A09">
        <w:rPr>
          <w:rFonts w:ascii="Tahoma" w:hAnsi="Tahoma" w:cs="Tahoma"/>
          <w:sz w:val="20"/>
          <w:szCs w:val="20"/>
        </w:rPr>
        <w:t>Για τις ενισχύσεις λειτουργίας για αθλητικές υποδομές, επιλέξιμες δαπάνες είναι οι δαπάνες λειτουργίας για την παροχή υπηρεσιών από τη συγκεκριμένη υποδομή. Στις εν λόγω δαπάνες λειτουργίας περιλαμβάνονται οι δαπάνες προσωπικού, υλικών, υπηρεσιών που ανατίθενται σε τρίτους, επικοινωνίας, ενέργειας, συντήρησης, μισθωμάτων, διοίκησης κ.λπ., αλλά εξαιρούνται οι αποσβέσεις και τα έξοδα χρηματοδότησης, εάν αυτά έχουν καλυφθεί από επενδυτική ενίσχυση (παράγραφος 9).</w:t>
      </w:r>
    </w:p>
    <w:p w:rsidR="00251A36" w:rsidRPr="00DB5B7B" w:rsidRDefault="00251A36" w:rsidP="00DB5B7B">
      <w:pPr>
        <w:pStyle w:val="a6"/>
        <w:spacing w:after="120" w:line="240" w:lineRule="auto"/>
        <w:ind w:left="360"/>
        <w:jc w:val="both"/>
        <w:rPr>
          <w:rFonts w:ascii="Tahoma" w:hAnsi="Tahoma" w:cs="Tahoma"/>
          <w:sz w:val="20"/>
          <w:szCs w:val="20"/>
        </w:rPr>
      </w:pPr>
    </w:p>
    <w:p w:rsidR="00303A09" w:rsidRDefault="00303A09" w:rsidP="00DB5B7B">
      <w:pPr>
        <w:pStyle w:val="a6"/>
        <w:numPr>
          <w:ilvl w:val="0"/>
          <w:numId w:val="25"/>
        </w:numPr>
        <w:spacing w:after="120" w:line="240" w:lineRule="auto"/>
        <w:jc w:val="both"/>
        <w:rPr>
          <w:rFonts w:ascii="Tahoma" w:hAnsi="Tahoma" w:cs="Tahoma"/>
          <w:sz w:val="20"/>
          <w:szCs w:val="20"/>
        </w:rPr>
      </w:pPr>
      <w:r w:rsidRPr="00303A09">
        <w:rPr>
          <w:rFonts w:ascii="Tahoma" w:hAnsi="Tahoma" w:cs="Tahoma"/>
          <w:sz w:val="20"/>
          <w:szCs w:val="20"/>
        </w:rPr>
        <w:t>Για τις επενδυτικές ενισχύσεις για αθλητικές υποδομές και πολυλειτουργικές ψυχαγωγικές υποδομές, το ποσό της ενίσχυσης δεν υπερβαίνει τη διαφορά μεταξύ των επιλέξιμων δαπανών και του κέρδους εκμετάλλευσης της επένδυσης. Το κέρδος εκμετάλλευσης αφαιρείται από τις επιλέξιμες δαπάνες εκ των προτέρων, βάσει εύλογων προβλέψεων, ή μέσω μηχανισμού ανάκτησης (παράγραφος 10).</w:t>
      </w:r>
    </w:p>
    <w:p w:rsidR="00303A09" w:rsidRDefault="00303A09" w:rsidP="00DB5B7B">
      <w:pPr>
        <w:pStyle w:val="a6"/>
        <w:numPr>
          <w:ilvl w:val="0"/>
          <w:numId w:val="25"/>
        </w:numPr>
        <w:spacing w:after="120" w:line="240" w:lineRule="auto"/>
        <w:jc w:val="both"/>
        <w:rPr>
          <w:rFonts w:ascii="Tahoma" w:hAnsi="Tahoma" w:cs="Tahoma"/>
          <w:sz w:val="20"/>
          <w:szCs w:val="20"/>
        </w:rPr>
      </w:pPr>
      <w:r w:rsidRPr="00303A09">
        <w:rPr>
          <w:rFonts w:ascii="Tahoma" w:hAnsi="Tahoma" w:cs="Tahoma"/>
          <w:sz w:val="20"/>
          <w:szCs w:val="20"/>
        </w:rPr>
        <w:t>Για τις ενισχύσεις λειτουργίας για αθλητικές υποδομές, το ποσό της ενίσχυσης δεν υπερβαίνει τις ζημίες εκμετάλλευσης κατά τη σχετική περίοδο. Αυτό εξασφαλίζεται εκ των προτέρων, βάσει εύλογων προβλέψεων, ή μέσω μηχανισμού ανάκτησης (παράγραφος 11).</w:t>
      </w:r>
    </w:p>
    <w:p w:rsidR="00303A09" w:rsidRDefault="00303A09" w:rsidP="00DB5B7B">
      <w:pPr>
        <w:pStyle w:val="a6"/>
        <w:spacing w:after="120" w:line="240" w:lineRule="auto"/>
        <w:ind w:left="360"/>
        <w:jc w:val="both"/>
        <w:rPr>
          <w:rFonts w:ascii="Tahoma" w:hAnsi="Tahoma" w:cs="Tahoma"/>
          <w:sz w:val="20"/>
          <w:szCs w:val="20"/>
        </w:rPr>
      </w:pPr>
      <w:r w:rsidRPr="00303A09">
        <w:rPr>
          <w:rFonts w:ascii="Tahoma" w:hAnsi="Tahoma" w:cs="Tahoma"/>
          <w:sz w:val="20"/>
          <w:szCs w:val="20"/>
        </w:rPr>
        <w:t>Για τις ενισχύσεις που δεν υπερβαίνουν το 1 εκατ. ευρώ, το μέγιστο ποσό της ενίσχυσης μπορεί να καθοριστεί, αντί με τη μέθοδο που αναφέρεται στις παραγράφους 10 και 11, στο 80% των επιλέξιμων δαπανών (παράγραφος 12).</w:t>
      </w:r>
      <w:r w:rsidRPr="00303A09" w:rsidDel="00303A09">
        <w:rPr>
          <w:rFonts w:ascii="Tahoma" w:hAnsi="Tahoma" w:cs="Tahoma"/>
          <w:sz w:val="20"/>
          <w:szCs w:val="20"/>
        </w:rPr>
        <w:t xml:space="preserve"> </w:t>
      </w:r>
    </w:p>
    <w:p w:rsidR="00DB5B7B" w:rsidRDefault="00DB5B7B" w:rsidP="00DB5B7B">
      <w:pPr>
        <w:pStyle w:val="a6"/>
        <w:spacing w:after="120" w:line="240" w:lineRule="auto"/>
        <w:ind w:left="360"/>
        <w:jc w:val="both"/>
        <w:rPr>
          <w:rFonts w:ascii="Tahoma" w:hAnsi="Tahoma" w:cs="Tahoma"/>
          <w:sz w:val="20"/>
          <w:szCs w:val="20"/>
        </w:rPr>
      </w:pPr>
    </w:p>
    <w:p w:rsidR="00DB5B7B" w:rsidRPr="00637C10" w:rsidRDefault="00DB5B7B" w:rsidP="00DB5B7B">
      <w:pPr>
        <w:pStyle w:val="a6"/>
        <w:spacing w:after="120" w:line="240" w:lineRule="auto"/>
        <w:ind w:left="360"/>
        <w:jc w:val="both"/>
        <w:rPr>
          <w:rFonts w:ascii="Tahoma" w:hAnsi="Tahoma" w:cs="Tahoma"/>
          <w:sz w:val="20"/>
          <w:szCs w:val="20"/>
        </w:rPr>
      </w:pPr>
    </w:p>
    <w:p w:rsidR="00666A33" w:rsidRPr="00DB5B7B" w:rsidRDefault="00666A33" w:rsidP="00303A09">
      <w:pPr>
        <w:spacing w:after="120" w:line="240" w:lineRule="auto"/>
        <w:jc w:val="both"/>
        <w:rPr>
          <w:rFonts w:ascii="Tahoma" w:hAnsi="Tahoma" w:cs="Tahoma"/>
          <w:b/>
          <w:sz w:val="20"/>
          <w:szCs w:val="20"/>
          <w:u w:val="single"/>
        </w:rPr>
      </w:pPr>
      <w:r w:rsidRPr="00DB5B7B">
        <w:rPr>
          <w:rFonts w:ascii="Tahoma" w:hAnsi="Tahoma" w:cs="Tahoma"/>
          <w:b/>
          <w:sz w:val="20"/>
          <w:szCs w:val="20"/>
          <w:u w:val="single"/>
        </w:rPr>
        <w:lastRenderedPageBreak/>
        <w:t xml:space="preserve">Άρθρο </w:t>
      </w:r>
      <w:r w:rsidR="0020431E">
        <w:rPr>
          <w:rFonts w:ascii="Tahoma" w:hAnsi="Tahoma" w:cs="Tahoma"/>
          <w:b/>
          <w:sz w:val="20"/>
          <w:szCs w:val="20"/>
          <w:u w:val="single"/>
        </w:rPr>
        <w:t>56</w:t>
      </w:r>
      <w:r w:rsidR="0020431E" w:rsidRPr="00DB5B7B">
        <w:rPr>
          <w:rFonts w:ascii="Tahoma" w:hAnsi="Tahoma" w:cs="Tahoma"/>
          <w:b/>
          <w:sz w:val="20"/>
          <w:szCs w:val="20"/>
          <w:u w:val="single"/>
        </w:rPr>
        <w:t xml:space="preserve"> </w:t>
      </w:r>
      <w:r w:rsidRPr="00DB5B7B">
        <w:rPr>
          <w:rFonts w:ascii="Tahoma" w:hAnsi="Tahoma" w:cs="Tahoma"/>
          <w:b/>
          <w:sz w:val="20"/>
          <w:szCs w:val="20"/>
          <w:u w:val="single"/>
        </w:rPr>
        <w:t xml:space="preserve">- </w:t>
      </w:r>
      <w:r w:rsidR="00EE7830" w:rsidRPr="00DB5B7B">
        <w:rPr>
          <w:rFonts w:ascii="Tahoma" w:hAnsi="Tahoma" w:cs="Tahoma"/>
          <w:b/>
          <w:sz w:val="20"/>
          <w:szCs w:val="20"/>
          <w:u w:val="single"/>
        </w:rPr>
        <w:t xml:space="preserve">Ενισχύσεις για </w:t>
      </w:r>
      <w:r w:rsidR="0020431E">
        <w:rPr>
          <w:rFonts w:ascii="Tahoma" w:hAnsi="Tahoma" w:cs="Tahoma"/>
          <w:b/>
          <w:sz w:val="20"/>
          <w:szCs w:val="20"/>
          <w:u w:val="single"/>
        </w:rPr>
        <w:t>τοπικές υποδομές</w:t>
      </w:r>
      <w:r w:rsidR="00EE7830" w:rsidRPr="00DB5B7B">
        <w:rPr>
          <w:rFonts w:ascii="Tahoma" w:hAnsi="Tahoma" w:cs="Tahoma"/>
          <w:b/>
          <w:sz w:val="20"/>
          <w:szCs w:val="20"/>
          <w:u w:val="single"/>
        </w:rPr>
        <w:t xml:space="preserve"> </w:t>
      </w:r>
    </w:p>
    <w:p w:rsidR="0020431E" w:rsidRDefault="00303A09" w:rsidP="00DB5B7B">
      <w:pPr>
        <w:pStyle w:val="a6"/>
        <w:numPr>
          <w:ilvl w:val="0"/>
          <w:numId w:val="33"/>
        </w:numPr>
        <w:spacing w:after="120" w:line="240" w:lineRule="auto"/>
        <w:jc w:val="both"/>
        <w:rPr>
          <w:rFonts w:ascii="Tahoma" w:hAnsi="Tahoma" w:cs="Tahoma"/>
          <w:sz w:val="20"/>
          <w:szCs w:val="20"/>
        </w:rPr>
      </w:pPr>
      <w:r w:rsidRPr="00303A09">
        <w:rPr>
          <w:rFonts w:ascii="Tahoma" w:hAnsi="Tahoma" w:cs="Tahoma"/>
          <w:sz w:val="20"/>
          <w:szCs w:val="20"/>
        </w:rPr>
        <w:t xml:space="preserve">Η χρηματοδότηση της κατασκευής ή της αναβάθμισης τοπικών υποδομών (που αφορά υποδομές οι οποίες συμβάλλουν σε τοπικό επίπεδο στη βελτίωση του επιχειρηματικού και καταναλωτικού περιβάλλοντος, καθώς και στον εκσυγχρονισμό και την ανάπτυξη της βιομηχανικής βάσης) συμβιβάζεται </w:t>
      </w:r>
      <w:r w:rsidR="00B81034" w:rsidRPr="00B81034">
        <w:rPr>
          <w:rFonts w:ascii="Tahoma" w:hAnsi="Tahoma" w:cs="Tahoma"/>
          <w:sz w:val="20"/>
          <w:szCs w:val="20"/>
        </w:rPr>
        <w:t xml:space="preserve">με την εσωτερική αγορά </w:t>
      </w:r>
      <w:r w:rsidRPr="00303A09">
        <w:rPr>
          <w:rFonts w:ascii="Tahoma" w:hAnsi="Tahoma" w:cs="Tahoma"/>
          <w:sz w:val="20"/>
          <w:szCs w:val="20"/>
        </w:rPr>
        <w:t>και απαλλάσσεται από την υποχρέωση κοινοποίησης</w:t>
      </w:r>
      <w:r w:rsidR="00B81034" w:rsidRPr="00B81034">
        <w:t xml:space="preserve"> </w:t>
      </w:r>
      <w:r w:rsidR="00B81034" w:rsidRPr="00B81034">
        <w:rPr>
          <w:rFonts w:ascii="Tahoma" w:hAnsi="Tahoma" w:cs="Tahoma"/>
          <w:sz w:val="20"/>
          <w:szCs w:val="20"/>
        </w:rPr>
        <w:t>που προβλέπεται στο άρθρο 108 παράγραφος 3 της Συνθήκης</w:t>
      </w:r>
      <w:r w:rsidRPr="00303A09">
        <w:rPr>
          <w:rFonts w:ascii="Tahoma" w:hAnsi="Tahoma" w:cs="Tahoma"/>
          <w:sz w:val="20"/>
          <w:szCs w:val="20"/>
        </w:rPr>
        <w:t>, ε</w:t>
      </w:r>
      <w:r w:rsidR="00B81034">
        <w:rPr>
          <w:rFonts w:ascii="Tahoma" w:hAnsi="Tahoma" w:cs="Tahoma"/>
          <w:sz w:val="20"/>
          <w:szCs w:val="20"/>
        </w:rPr>
        <w:t>φόσον</w:t>
      </w:r>
      <w:r w:rsidRPr="00303A09">
        <w:rPr>
          <w:rFonts w:ascii="Tahoma" w:hAnsi="Tahoma" w:cs="Tahoma"/>
          <w:sz w:val="20"/>
          <w:szCs w:val="20"/>
        </w:rPr>
        <w:t xml:space="preserve"> πληρούνται οι </w:t>
      </w:r>
      <w:r w:rsidR="00B81034">
        <w:rPr>
          <w:rFonts w:ascii="Tahoma" w:hAnsi="Tahoma" w:cs="Tahoma"/>
          <w:sz w:val="20"/>
          <w:szCs w:val="20"/>
        </w:rPr>
        <w:t xml:space="preserve">προϋποθέσεις </w:t>
      </w:r>
      <w:r w:rsidR="00B81034" w:rsidRPr="00B81034">
        <w:rPr>
          <w:rFonts w:ascii="Tahoma" w:hAnsi="Tahoma" w:cs="Tahoma"/>
          <w:sz w:val="20"/>
          <w:szCs w:val="20"/>
        </w:rPr>
        <w:t>του παρόντος άρθρου και του κεφαλαίου Ι του ΓΑΚ.</w:t>
      </w:r>
    </w:p>
    <w:p w:rsidR="0020431E" w:rsidRDefault="005D7119" w:rsidP="00DB5B7B">
      <w:pPr>
        <w:pStyle w:val="a6"/>
        <w:numPr>
          <w:ilvl w:val="0"/>
          <w:numId w:val="33"/>
        </w:numPr>
        <w:spacing w:after="120" w:line="240" w:lineRule="auto"/>
        <w:jc w:val="both"/>
        <w:rPr>
          <w:rFonts w:ascii="Tahoma" w:hAnsi="Tahoma" w:cs="Tahoma"/>
          <w:sz w:val="20"/>
          <w:szCs w:val="20"/>
        </w:rPr>
      </w:pPr>
      <w:r w:rsidRPr="005D7119">
        <w:rPr>
          <w:rFonts w:ascii="Tahoma" w:hAnsi="Tahoma" w:cs="Tahoma"/>
          <w:sz w:val="20"/>
          <w:szCs w:val="20"/>
        </w:rPr>
        <w:t>Το παρόν άρθρο δεν εφαρμόζεται στις ενισχύσεις για υποδομές που καλύπτονται από άλλα τμήματα του κεφαλαίου III του ΓΑΚ, με εξαίρεση το τμήμα 1 — Περιφερειακές ενισχύσεις. Το παρόν άρθρο δεν εφαρμόζεται επίσης στις αερολιμενικές και τις λιμενικές υποδομές (παράγραφος 2).</w:t>
      </w:r>
    </w:p>
    <w:p w:rsidR="005D7119" w:rsidRDefault="005D7119" w:rsidP="00DB5B7B">
      <w:pPr>
        <w:pStyle w:val="a6"/>
        <w:numPr>
          <w:ilvl w:val="0"/>
          <w:numId w:val="33"/>
        </w:numPr>
        <w:spacing w:after="120" w:line="240" w:lineRule="auto"/>
        <w:jc w:val="both"/>
        <w:rPr>
          <w:rFonts w:ascii="Tahoma" w:hAnsi="Tahoma" w:cs="Tahoma"/>
          <w:sz w:val="20"/>
          <w:szCs w:val="20"/>
        </w:rPr>
      </w:pPr>
      <w:r w:rsidRPr="005D7119">
        <w:rPr>
          <w:rFonts w:ascii="Tahoma" w:hAnsi="Tahoma" w:cs="Tahoma"/>
          <w:sz w:val="20"/>
          <w:szCs w:val="20"/>
        </w:rPr>
        <w:t>Οι ειδικές υποδομές δεν τυγχάνουν απαλλαγής δυνάμει του παρόντος άρθρου (παράγραφος 7).</w:t>
      </w:r>
    </w:p>
    <w:p w:rsidR="0020431E" w:rsidRDefault="005D7119" w:rsidP="00DB5B7B">
      <w:pPr>
        <w:pStyle w:val="a6"/>
        <w:numPr>
          <w:ilvl w:val="0"/>
          <w:numId w:val="33"/>
        </w:numPr>
        <w:spacing w:after="120" w:line="240" w:lineRule="auto"/>
        <w:jc w:val="both"/>
        <w:rPr>
          <w:rFonts w:ascii="Tahoma" w:hAnsi="Tahoma" w:cs="Tahoma"/>
          <w:sz w:val="20"/>
          <w:szCs w:val="20"/>
        </w:rPr>
      </w:pPr>
      <w:r w:rsidRPr="005D7119">
        <w:rPr>
          <w:rFonts w:ascii="Tahoma" w:hAnsi="Tahoma" w:cs="Tahoma"/>
          <w:sz w:val="20"/>
          <w:szCs w:val="20"/>
        </w:rPr>
        <w:t>Οι υποδομές τίθενται στη διάθεση των ενδιαφερόμενων χρηστών ανοιχτά, με διαφάνεια και χωρίς διακρίσεις. Η τιμή που χρεώνεται για τη χρήση ή την πώληση της υποδομής αντιστοιχεί στην τιμή της αγοράς (παράγραφος 3).</w:t>
      </w:r>
    </w:p>
    <w:p w:rsidR="0020431E" w:rsidRDefault="005D7119" w:rsidP="00DB5B7B">
      <w:pPr>
        <w:pStyle w:val="a6"/>
        <w:numPr>
          <w:ilvl w:val="0"/>
          <w:numId w:val="33"/>
        </w:numPr>
        <w:spacing w:after="120" w:line="240" w:lineRule="auto"/>
        <w:jc w:val="both"/>
        <w:rPr>
          <w:rFonts w:ascii="Tahoma" w:hAnsi="Tahoma" w:cs="Tahoma"/>
          <w:sz w:val="20"/>
          <w:szCs w:val="20"/>
        </w:rPr>
      </w:pPr>
      <w:r w:rsidRPr="005D7119">
        <w:rPr>
          <w:rFonts w:ascii="Tahoma" w:hAnsi="Tahoma" w:cs="Tahoma"/>
          <w:sz w:val="20"/>
          <w:szCs w:val="20"/>
        </w:rPr>
        <w:t>Οποιαδήποτε παραχώρηση ή άλλη ανάθεση σε τρίτο μέρος της λειτουργίας της υποδομής πραγματοποιείται με ανοικτή, διαφανή και χωρίς διακρίσεις διαδικασία, λαμβανομένων δεόντως υπόψη των ισχυόντων κανόνων σύναψης δημοσίων συμβάσεων (παράγραφος 4).</w:t>
      </w:r>
      <w:r w:rsidR="0020431E">
        <w:rPr>
          <w:rFonts w:ascii="Tahoma" w:hAnsi="Tahoma" w:cs="Tahoma"/>
          <w:sz w:val="20"/>
          <w:szCs w:val="20"/>
        </w:rPr>
        <w:t>.</w:t>
      </w:r>
    </w:p>
    <w:p w:rsidR="0020431E" w:rsidRDefault="005D7119" w:rsidP="00DB5B7B">
      <w:pPr>
        <w:pStyle w:val="a6"/>
        <w:numPr>
          <w:ilvl w:val="0"/>
          <w:numId w:val="33"/>
        </w:numPr>
        <w:spacing w:after="120" w:line="240" w:lineRule="auto"/>
        <w:jc w:val="both"/>
        <w:rPr>
          <w:rFonts w:ascii="Tahoma" w:hAnsi="Tahoma" w:cs="Tahoma"/>
          <w:sz w:val="20"/>
          <w:szCs w:val="20"/>
        </w:rPr>
      </w:pPr>
      <w:r w:rsidRPr="00A7307F">
        <w:rPr>
          <w:rFonts w:ascii="Tahoma" w:hAnsi="Tahoma" w:cs="Tahoma"/>
          <w:sz w:val="20"/>
          <w:szCs w:val="20"/>
        </w:rPr>
        <w:t xml:space="preserve">Επιλέξιμες είναι </w:t>
      </w:r>
      <w:r w:rsidRPr="005D7119">
        <w:rPr>
          <w:rFonts w:ascii="Tahoma" w:hAnsi="Tahoma" w:cs="Tahoma"/>
          <w:sz w:val="20"/>
          <w:szCs w:val="20"/>
        </w:rPr>
        <w:t>οι επενδυτικές δαπάνες σε ενσώματα και άυλα στοιχεία ενεργητικού (παράγραφος 5).</w:t>
      </w:r>
    </w:p>
    <w:p w:rsidR="00666A33" w:rsidRPr="00DB5B7B" w:rsidRDefault="005D7119" w:rsidP="00DB5B7B">
      <w:pPr>
        <w:pStyle w:val="a6"/>
        <w:numPr>
          <w:ilvl w:val="0"/>
          <w:numId w:val="33"/>
        </w:numPr>
        <w:spacing w:after="120" w:line="240" w:lineRule="auto"/>
        <w:jc w:val="both"/>
        <w:rPr>
          <w:rFonts w:ascii="Tahoma" w:hAnsi="Tahoma" w:cs="Tahoma"/>
          <w:sz w:val="20"/>
          <w:szCs w:val="20"/>
        </w:rPr>
      </w:pPr>
      <w:r w:rsidRPr="005D7119">
        <w:rPr>
          <w:rFonts w:ascii="Tahoma" w:hAnsi="Tahoma" w:cs="Tahoma"/>
          <w:sz w:val="20"/>
          <w:szCs w:val="20"/>
        </w:rPr>
        <w:t>Το ποσό της ενίσχυσης δεν υπερβαίνει τη διαφορά μεταξύ των επιλέξιμων δαπανών και του κέρδους εκμετάλλευσης της επένδυσης. Το κέρδος εκμετάλλευσης αφαιρείται από τις επιλέξιμες δαπάνες εκ των προτέρων, βάσει εύλογων προβλέψεων, ή μέσω μηχανισμού ανάκτησης (παράγραφος 6).</w:t>
      </w:r>
    </w:p>
    <w:p w:rsidR="00EE7830" w:rsidRPr="00637C10" w:rsidRDefault="00EE7830" w:rsidP="00637C10">
      <w:pPr>
        <w:spacing w:after="120" w:line="240" w:lineRule="auto"/>
        <w:jc w:val="both"/>
        <w:rPr>
          <w:rFonts w:ascii="Tahoma" w:hAnsi="Tahoma" w:cs="Tahoma"/>
          <w:sz w:val="20"/>
          <w:szCs w:val="20"/>
        </w:rPr>
      </w:pPr>
    </w:p>
    <w:p w:rsidR="00AF4421" w:rsidRPr="00637C10" w:rsidRDefault="00AF4421" w:rsidP="00637C10">
      <w:pPr>
        <w:spacing w:after="120" w:line="240" w:lineRule="auto"/>
        <w:jc w:val="both"/>
        <w:rPr>
          <w:rFonts w:ascii="Tahoma" w:hAnsi="Tahoma" w:cs="Tahoma"/>
          <w:sz w:val="20"/>
          <w:szCs w:val="20"/>
        </w:rPr>
      </w:pPr>
    </w:p>
    <w:p w:rsidR="00637C10" w:rsidRPr="00637C10" w:rsidRDefault="00637C10">
      <w:pPr>
        <w:spacing w:after="120" w:line="240" w:lineRule="auto"/>
        <w:jc w:val="both"/>
        <w:rPr>
          <w:rFonts w:ascii="Tahoma" w:hAnsi="Tahoma" w:cs="Tahoma"/>
          <w:sz w:val="20"/>
          <w:szCs w:val="20"/>
        </w:rPr>
      </w:pPr>
    </w:p>
    <w:sectPr w:rsidR="00637C10" w:rsidRPr="00637C10" w:rsidSect="00145D10">
      <w:headerReference w:type="default" r:id="rId9"/>
      <w:footerReference w:type="default" r:id="rId10"/>
      <w:pgSz w:w="11907" w:h="16840" w:code="9"/>
      <w:pgMar w:top="1418" w:right="1559" w:bottom="993" w:left="1134" w:header="425" w:footer="1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C8F" w:rsidRDefault="00B36C8F">
      <w:pPr>
        <w:spacing w:after="0" w:line="240" w:lineRule="auto"/>
      </w:pPr>
      <w:r>
        <w:separator/>
      </w:r>
    </w:p>
  </w:endnote>
  <w:endnote w:type="continuationSeparator" w:id="0">
    <w:p w:rsidR="00B36C8F" w:rsidRDefault="00B36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9" w:type="dxa"/>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4D7F17" w:rsidTr="00506DDE">
      <w:trPr>
        <w:trHeight w:val="1301"/>
      </w:trPr>
      <w:tc>
        <w:tcPr>
          <w:tcW w:w="2402" w:type="dxa"/>
          <w:shd w:val="clear" w:color="auto" w:fill="FFFFFF"/>
        </w:tcPr>
        <w:p w:rsidR="004D7F17" w:rsidRDefault="004D7F17">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extent cx="676275" cy="428625"/>
                <wp:effectExtent l="0" t="0" r="9525" b="952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4D7F17" w:rsidRPr="00B55C10"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4D7F17"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Ταμείο Συνοχής</w:t>
          </w:r>
        </w:p>
      </w:tc>
      <w:tc>
        <w:tcPr>
          <w:tcW w:w="2054"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481"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622" w:type="dxa"/>
          <w:shd w:val="clear" w:color="auto" w:fill="FFFFFF"/>
        </w:tcPr>
        <w:p w:rsidR="004D7F17" w:rsidRDefault="004D7F17">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extent cx="990600" cy="59055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r w:rsidR="004D7F17" w:rsidTr="001327C7">
      <w:trPr>
        <w:trHeight w:val="392"/>
      </w:trPr>
      <w:tc>
        <w:tcPr>
          <w:tcW w:w="9559" w:type="dxa"/>
          <w:gridSpan w:val="4"/>
          <w:shd w:val="clear" w:color="auto" w:fill="FFFFFF"/>
          <w:vAlign w:val="center"/>
        </w:tcPr>
        <w:p w:rsidR="004D7F17" w:rsidRPr="00506DDE" w:rsidRDefault="004D7F17" w:rsidP="00F25B58">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Σελίδα </w:t>
          </w:r>
          <w:r w:rsidR="0045136E">
            <w:rPr>
              <w:rFonts w:cs="Tahoma"/>
              <w:bCs/>
              <w:color w:val="000000"/>
              <w:sz w:val="16"/>
              <w:szCs w:val="16"/>
            </w:rPr>
            <w:fldChar w:fldCharType="begin"/>
          </w:r>
          <w:r>
            <w:rPr>
              <w:rFonts w:cs="Tahoma"/>
              <w:bCs/>
              <w:color w:val="000000"/>
              <w:sz w:val="16"/>
              <w:szCs w:val="16"/>
            </w:rPr>
            <w:instrText xml:space="preserve"> PAGE  \* Arabic  \* MERGEFORMAT </w:instrText>
          </w:r>
          <w:r w:rsidR="0045136E">
            <w:rPr>
              <w:rFonts w:cs="Tahoma"/>
              <w:bCs/>
              <w:color w:val="000000"/>
              <w:sz w:val="16"/>
              <w:szCs w:val="16"/>
            </w:rPr>
            <w:fldChar w:fldCharType="separate"/>
          </w:r>
          <w:r w:rsidR="00C104E1">
            <w:rPr>
              <w:rFonts w:cs="Tahoma"/>
              <w:bCs/>
              <w:noProof/>
              <w:color w:val="000000"/>
              <w:sz w:val="16"/>
              <w:szCs w:val="16"/>
            </w:rPr>
            <w:t>1</w:t>
          </w:r>
          <w:r w:rsidR="0045136E">
            <w:rPr>
              <w:rFonts w:cs="Tahoma"/>
              <w:bCs/>
              <w:color w:val="000000"/>
              <w:sz w:val="16"/>
              <w:szCs w:val="16"/>
            </w:rPr>
            <w:fldChar w:fldCharType="end"/>
          </w:r>
        </w:p>
      </w:tc>
    </w:tr>
  </w:tbl>
  <w:p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C8F" w:rsidRDefault="00B36C8F">
      <w:pPr>
        <w:spacing w:after="0" w:line="240" w:lineRule="auto"/>
      </w:pPr>
      <w:r>
        <w:separator/>
      </w:r>
    </w:p>
  </w:footnote>
  <w:footnote w:type="continuationSeparator" w:id="0">
    <w:p w:rsidR="00B36C8F" w:rsidRDefault="00B36C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17" w:rsidRDefault="004D7F17">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433F"/>
    <w:multiLevelType w:val="hybridMultilevel"/>
    <w:tmpl w:val="32429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2B91837"/>
    <w:multiLevelType w:val="hybridMultilevel"/>
    <w:tmpl w:val="2312C8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03E63E4A"/>
    <w:multiLevelType w:val="hybridMultilevel"/>
    <w:tmpl w:val="9DCAE93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05B50FFE"/>
    <w:multiLevelType w:val="hybridMultilevel"/>
    <w:tmpl w:val="85E061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2590EA9"/>
    <w:multiLevelType w:val="hybridMultilevel"/>
    <w:tmpl w:val="2FC287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37B0AB8"/>
    <w:multiLevelType w:val="hybridMultilevel"/>
    <w:tmpl w:val="B06CC218"/>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2371678F"/>
    <w:multiLevelType w:val="hybridMultilevel"/>
    <w:tmpl w:val="2A0694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6A3707F"/>
    <w:multiLevelType w:val="hybridMultilevel"/>
    <w:tmpl w:val="272C0520"/>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2ADF6FB2"/>
    <w:multiLevelType w:val="hybridMultilevel"/>
    <w:tmpl w:val="475CF204"/>
    <w:lvl w:ilvl="0" w:tplc="08090019">
      <w:start w:val="1"/>
      <w:numFmt w:val="lowerLetter"/>
      <w:lvlText w:val="%1."/>
      <w:lvlJc w:val="left"/>
      <w:pPr>
        <w:ind w:left="720" w:hanging="360"/>
      </w:pPr>
    </w:lvl>
    <w:lvl w:ilvl="1" w:tplc="4A3C6882">
      <w:start w:val="1"/>
      <w:numFmt w:val="lowerRoman"/>
      <w:lvlText w:val="(%2)"/>
      <w:lvlJc w:val="left"/>
      <w:pPr>
        <w:ind w:left="1800" w:hanging="72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2EAB024C"/>
    <w:multiLevelType w:val="hybridMultilevel"/>
    <w:tmpl w:val="08C6FB38"/>
    <w:lvl w:ilvl="0" w:tplc="0408000F">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2F8B19EA"/>
    <w:multiLevelType w:val="hybridMultilevel"/>
    <w:tmpl w:val="94F613B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30420C27"/>
    <w:multiLevelType w:val="hybridMultilevel"/>
    <w:tmpl w:val="E554719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2">
    <w:nsid w:val="38D90D80"/>
    <w:multiLevelType w:val="hybridMultilevel"/>
    <w:tmpl w:val="2180814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3C3D3A77"/>
    <w:multiLevelType w:val="hybridMultilevel"/>
    <w:tmpl w:val="3404DE20"/>
    <w:lvl w:ilvl="0" w:tplc="9C04AAEE">
      <w:numFmt w:val="bullet"/>
      <w:lvlText w:val="-"/>
      <w:lvlJc w:val="left"/>
      <w:pPr>
        <w:ind w:left="1440" w:hanging="360"/>
      </w:pPr>
      <w:rPr>
        <w:rFonts w:ascii="Times New Roman" w:eastAsia="Times New Roman" w:hAnsi="Times New Roman"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451049CD"/>
    <w:multiLevelType w:val="hybridMultilevel"/>
    <w:tmpl w:val="0928A9C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6F43394"/>
    <w:multiLevelType w:val="hybridMultilevel"/>
    <w:tmpl w:val="C09EF5F4"/>
    <w:lvl w:ilvl="0" w:tplc="08090019">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4D126A41"/>
    <w:multiLevelType w:val="hybridMultilevel"/>
    <w:tmpl w:val="4148F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51F27066"/>
    <w:multiLevelType w:val="hybridMultilevel"/>
    <w:tmpl w:val="9B80164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52706253"/>
    <w:multiLevelType w:val="hybridMultilevel"/>
    <w:tmpl w:val="8714773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B7C7E18"/>
    <w:multiLevelType w:val="hybridMultilevel"/>
    <w:tmpl w:val="597682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D083B05"/>
    <w:multiLevelType w:val="hybridMultilevel"/>
    <w:tmpl w:val="D3CCEE64"/>
    <w:lvl w:ilvl="0" w:tplc="0ECCE3F2">
      <w:start w:val="1"/>
      <w:numFmt w:val="bullet"/>
      <w:lvlText w:val="-"/>
      <w:lvlJc w:val="left"/>
      <w:pPr>
        <w:tabs>
          <w:tab w:val="num" w:pos="720"/>
        </w:tabs>
        <w:ind w:left="720" w:hanging="360"/>
      </w:pPr>
      <w:rPr>
        <w:rFonts w:ascii="Courier New" w:hAnsi="Courier Ne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1">
    <w:nsid w:val="5FB4363B"/>
    <w:multiLevelType w:val="hybridMultilevel"/>
    <w:tmpl w:val="578066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3B569EC"/>
    <w:multiLevelType w:val="hybridMultilevel"/>
    <w:tmpl w:val="68E2FD24"/>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nsid w:val="649045F1"/>
    <w:multiLevelType w:val="hybridMultilevel"/>
    <w:tmpl w:val="C89A68C0"/>
    <w:lvl w:ilvl="0" w:tplc="0ECCE3F2">
      <w:start w:val="1"/>
      <w:numFmt w:val="bullet"/>
      <w:lvlText w:val="-"/>
      <w:lvlJc w:val="left"/>
      <w:pPr>
        <w:tabs>
          <w:tab w:val="num" w:pos="720"/>
        </w:tabs>
        <w:ind w:left="720" w:hanging="360"/>
      </w:pPr>
      <w:rPr>
        <w:rFonts w:ascii="Courier New" w:hAnsi="Courier Ne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4">
    <w:nsid w:val="650842CC"/>
    <w:multiLevelType w:val="hybridMultilevel"/>
    <w:tmpl w:val="2180814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52E53CB"/>
    <w:multiLevelType w:val="hybridMultilevel"/>
    <w:tmpl w:val="B55C3304"/>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nsid w:val="68D8731A"/>
    <w:multiLevelType w:val="hybridMultilevel"/>
    <w:tmpl w:val="1A5801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B3220B7"/>
    <w:multiLevelType w:val="hybridMultilevel"/>
    <w:tmpl w:val="8E46B87C"/>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nsid w:val="70972865"/>
    <w:multiLevelType w:val="hybridMultilevel"/>
    <w:tmpl w:val="EE2EEF2E"/>
    <w:lvl w:ilvl="0" w:tplc="9C04AAEE">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9">
    <w:nsid w:val="7D6278C9"/>
    <w:multiLevelType w:val="hybridMultilevel"/>
    <w:tmpl w:val="27984D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E2D5467"/>
    <w:multiLevelType w:val="hybridMultilevel"/>
    <w:tmpl w:val="FBD2574C"/>
    <w:lvl w:ilvl="0" w:tplc="9C04AAE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EA95B16"/>
    <w:multiLevelType w:val="hybridMultilevel"/>
    <w:tmpl w:val="59B838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F2514F1"/>
    <w:multiLevelType w:val="hybridMultilevel"/>
    <w:tmpl w:val="362A76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0"/>
  </w:num>
  <w:num w:numId="2">
    <w:abstractNumId w:val="24"/>
  </w:num>
  <w:num w:numId="3">
    <w:abstractNumId w:val="1"/>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7"/>
  </w:num>
  <w:num w:numId="7">
    <w:abstractNumId w:val="32"/>
  </w:num>
  <w:num w:numId="8">
    <w:abstractNumId w:val="11"/>
  </w:num>
  <w:num w:numId="9">
    <w:abstractNumId w:val="23"/>
  </w:num>
  <w:num w:numId="10">
    <w:abstractNumId w:val="22"/>
  </w:num>
  <w:num w:numId="11">
    <w:abstractNumId w:val="20"/>
  </w:num>
  <w:num w:numId="12">
    <w:abstractNumId w:val="5"/>
  </w:num>
  <w:num w:numId="13">
    <w:abstractNumId w:val="27"/>
  </w:num>
  <w:num w:numId="14">
    <w:abstractNumId w:val="25"/>
  </w:num>
  <w:num w:numId="15">
    <w:abstractNumId w:val="16"/>
  </w:num>
  <w:num w:numId="16">
    <w:abstractNumId w:val="13"/>
  </w:num>
  <w:num w:numId="17">
    <w:abstractNumId w:val="17"/>
  </w:num>
  <w:num w:numId="18">
    <w:abstractNumId w:val="28"/>
  </w:num>
  <w:num w:numId="19">
    <w:abstractNumId w:val="18"/>
  </w:num>
  <w:num w:numId="20">
    <w:abstractNumId w:val="0"/>
  </w:num>
  <w:num w:numId="21">
    <w:abstractNumId w:val="21"/>
  </w:num>
  <w:num w:numId="22">
    <w:abstractNumId w:val="14"/>
  </w:num>
  <w:num w:numId="23">
    <w:abstractNumId w:val="10"/>
  </w:num>
  <w:num w:numId="24">
    <w:abstractNumId w:val="31"/>
  </w:num>
  <w:num w:numId="25">
    <w:abstractNumId w:val="9"/>
  </w:num>
  <w:num w:numId="26">
    <w:abstractNumId w:val="4"/>
  </w:num>
  <w:num w:numId="27">
    <w:abstractNumId w:val="3"/>
  </w:num>
  <w:num w:numId="28">
    <w:abstractNumId w:val="29"/>
  </w:num>
  <w:num w:numId="29">
    <w:abstractNumId w:val="19"/>
  </w:num>
  <w:num w:numId="30">
    <w:abstractNumId w:val="6"/>
  </w:num>
  <w:num w:numId="31">
    <w:abstractNumId w:val="12"/>
  </w:num>
  <w:num w:numId="32">
    <w:abstractNumId w:val="26"/>
  </w:num>
  <w:num w:numId="33">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trackRevision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44A"/>
    <w:rsid w:val="00002496"/>
    <w:rsid w:val="00002E0B"/>
    <w:rsid w:val="00003E17"/>
    <w:rsid w:val="00005840"/>
    <w:rsid w:val="00005854"/>
    <w:rsid w:val="000114B8"/>
    <w:rsid w:val="00011F1A"/>
    <w:rsid w:val="000129D1"/>
    <w:rsid w:val="00012C5B"/>
    <w:rsid w:val="00013D9E"/>
    <w:rsid w:val="00015F72"/>
    <w:rsid w:val="00022720"/>
    <w:rsid w:val="00022DD3"/>
    <w:rsid w:val="00022E59"/>
    <w:rsid w:val="000251AD"/>
    <w:rsid w:val="000259E6"/>
    <w:rsid w:val="00025B97"/>
    <w:rsid w:val="000329D2"/>
    <w:rsid w:val="000339A7"/>
    <w:rsid w:val="00033B9A"/>
    <w:rsid w:val="00034B04"/>
    <w:rsid w:val="000356C6"/>
    <w:rsid w:val="00036460"/>
    <w:rsid w:val="00037106"/>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72C8A"/>
    <w:rsid w:val="00075F4B"/>
    <w:rsid w:val="0008194B"/>
    <w:rsid w:val="00083A7A"/>
    <w:rsid w:val="000852EF"/>
    <w:rsid w:val="00091A33"/>
    <w:rsid w:val="000960B7"/>
    <w:rsid w:val="0009739A"/>
    <w:rsid w:val="00097D31"/>
    <w:rsid w:val="00097E88"/>
    <w:rsid w:val="000A2066"/>
    <w:rsid w:val="000A634C"/>
    <w:rsid w:val="000A6797"/>
    <w:rsid w:val="000B0742"/>
    <w:rsid w:val="000B16FB"/>
    <w:rsid w:val="000B2F18"/>
    <w:rsid w:val="000B4DA8"/>
    <w:rsid w:val="000C30C2"/>
    <w:rsid w:val="000C3A43"/>
    <w:rsid w:val="000C7EC1"/>
    <w:rsid w:val="000D2A6C"/>
    <w:rsid w:val="000D733E"/>
    <w:rsid w:val="000E1054"/>
    <w:rsid w:val="000E1345"/>
    <w:rsid w:val="000E4E74"/>
    <w:rsid w:val="000E4F1F"/>
    <w:rsid w:val="000F077C"/>
    <w:rsid w:val="000F152C"/>
    <w:rsid w:val="000F29CC"/>
    <w:rsid w:val="000F2EA5"/>
    <w:rsid w:val="000F4CE6"/>
    <w:rsid w:val="000F4F56"/>
    <w:rsid w:val="000F6D47"/>
    <w:rsid w:val="001008D4"/>
    <w:rsid w:val="00102308"/>
    <w:rsid w:val="001027FC"/>
    <w:rsid w:val="0010475F"/>
    <w:rsid w:val="00106BD2"/>
    <w:rsid w:val="00107903"/>
    <w:rsid w:val="00107D0E"/>
    <w:rsid w:val="00110541"/>
    <w:rsid w:val="00120074"/>
    <w:rsid w:val="001248BA"/>
    <w:rsid w:val="0013040E"/>
    <w:rsid w:val="00131CB4"/>
    <w:rsid w:val="0013267E"/>
    <w:rsid w:val="001327C7"/>
    <w:rsid w:val="00132A54"/>
    <w:rsid w:val="00134FE4"/>
    <w:rsid w:val="0013556D"/>
    <w:rsid w:val="00136DBA"/>
    <w:rsid w:val="00137C8E"/>
    <w:rsid w:val="00140D66"/>
    <w:rsid w:val="00143DD0"/>
    <w:rsid w:val="00144445"/>
    <w:rsid w:val="00145D10"/>
    <w:rsid w:val="001469E7"/>
    <w:rsid w:val="00147C71"/>
    <w:rsid w:val="00151E31"/>
    <w:rsid w:val="00154ACE"/>
    <w:rsid w:val="00156783"/>
    <w:rsid w:val="00160740"/>
    <w:rsid w:val="00161921"/>
    <w:rsid w:val="001627EE"/>
    <w:rsid w:val="00162853"/>
    <w:rsid w:val="00166D9C"/>
    <w:rsid w:val="00167259"/>
    <w:rsid w:val="0017086B"/>
    <w:rsid w:val="00174BF0"/>
    <w:rsid w:val="001763EC"/>
    <w:rsid w:val="00176673"/>
    <w:rsid w:val="00176873"/>
    <w:rsid w:val="0018034E"/>
    <w:rsid w:val="00181CF4"/>
    <w:rsid w:val="0018272D"/>
    <w:rsid w:val="001873F3"/>
    <w:rsid w:val="00187898"/>
    <w:rsid w:val="00191250"/>
    <w:rsid w:val="00191862"/>
    <w:rsid w:val="00192DF6"/>
    <w:rsid w:val="001937A9"/>
    <w:rsid w:val="00196058"/>
    <w:rsid w:val="00196821"/>
    <w:rsid w:val="001971BB"/>
    <w:rsid w:val="00197E48"/>
    <w:rsid w:val="001A3E22"/>
    <w:rsid w:val="001A69A4"/>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310"/>
    <w:rsid w:val="00200FB8"/>
    <w:rsid w:val="002017B3"/>
    <w:rsid w:val="00202823"/>
    <w:rsid w:val="0020431E"/>
    <w:rsid w:val="00207727"/>
    <w:rsid w:val="002146C6"/>
    <w:rsid w:val="00217A17"/>
    <w:rsid w:val="002211DB"/>
    <w:rsid w:val="00221374"/>
    <w:rsid w:val="00222760"/>
    <w:rsid w:val="0022591C"/>
    <w:rsid w:val="00226A7A"/>
    <w:rsid w:val="00230D32"/>
    <w:rsid w:val="0024089C"/>
    <w:rsid w:val="002440EC"/>
    <w:rsid w:val="0024436C"/>
    <w:rsid w:val="00250309"/>
    <w:rsid w:val="00251A36"/>
    <w:rsid w:val="00251B4A"/>
    <w:rsid w:val="0025398F"/>
    <w:rsid w:val="002549D2"/>
    <w:rsid w:val="00260EB8"/>
    <w:rsid w:val="002623E9"/>
    <w:rsid w:val="0026289F"/>
    <w:rsid w:val="00264E7F"/>
    <w:rsid w:val="00265B04"/>
    <w:rsid w:val="00266103"/>
    <w:rsid w:val="0027433A"/>
    <w:rsid w:val="00274E15"/>
    <w:rsid w:val="0028193E"/>
    <w:rsid w:val="0028362D"/>
    <w:rsid w:val="002862A8"/>
    <w:rsid w:val="00293A87"/>
    <w:rsid w:val="00296BAA"/>
    <w:rsid w:val="00297463"/>
    <w:rsid w:val="002A0555"/>
    <w:rsid w:val="002A16DE"/>
    <w:rsid w:val="002A3C6C"/>
    <w:rsid w:val="002A7048"/>
    <w:rsid w:val="002A71E8"/>
    <w:rsid w:val="002B0D7F"/>
    <w:rsid w:val="002B2D8A"/>
    <w:rsid w:val="002B4CD0"/>
    <w:rsid w:val="002B693D"/>
    <w:rsid w:val="002C13C4"/>
    <w:rsid w:val="002C2256"/>
    <w:rsid w:val="002C35D1"/>
    <w:rsid w:val="002C3C72"/>
    <w:rsid w:val="002C4599"/>
    <w:rsid w:val="002C652A"/>
    <w:rsid w:val="002C707E"/>
    <w:rsid w:val="002D0FCF"/>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2F5995"/>
    <w:rsid w:val="003028E4"/>
    <w:rsid w:val="00303A09"/>
    <w:rsid w:val="00304775"/>
    <w:rsid w:val="00306CEE"/>
    <w:rsid w:val="00307A83"/>
    <w:rsid w:val="00310042"/>
    <w:rsid w:val="00313779"/>
    <w:rsid w:val="00313C5B"/>
    <w:rsid w:val="00315331"/>
    <w:rsid w:val="00315AC4"/>
    <w:rsid w:val="00315FF4"/>
    <w:rsid w:val="00316DDE"/>
    <w:rsid w:val="00320A2F"/>
    <w:rsid w:val="00320E77"/>
    <w:rsid w:val="0032133E"/>
    <w:rsid w:val="00323FDC"/>
    <w:rsid w:val="003247D0"/>
    <w:rsid w:val="0032655B"/>
    <w:rsid w:val="00331500"/>
    <w:rsid w:val="0033308D"/>
    <w:rsid w:val="0033533B"/>
    <w:rsid w:val="00340B7D"/>
    <w:rsid w:val="003446EE"/>
    <w:rsid w:val="003463F2"/>
    <w:rsid w:val="003475F0"/>
    <w:rsid w:val="00351690"/>
    <w:rsid w:val="003549ED"/>
    <w:rsid w:val="00355A4B"/>
    <w:rsid w:val="00355E0B"/>
    <w:rsid w:val="00356EA9"/>
    <w:rsid w:val="00361FB8"/>
    <w:rsid w:val="00363165"/>
    <w:rsid w:val="00364A6B"/>
    <w:rsid w:val="00364B9C"/>
    <w:rsid w:val="00365C30"/>
    <w:rsid w:val="003665F9"/>
    <w:rsid w:val="00371F8D"/>
    <w:rsid w:val="0037343D"/>
    <w:rsid w:val="00375929"/>
    <w:rsid w:val="00376955"/>
    <w:rsid w:val="0038014D"/>
    <w:rsid w:val="0038037D"/>
    <w:rsid w:val="00380678"/>
    <w:rsid w:val="003823B8"/>
    <w:rsid w:val="003826B0"/>
    <w:rsid w:val="00383A2C"/>
    <w:rsid w:val="003841A4"/>
    <w:rsid w:val="003870C3"/>
    <w:rsid w:val="003902C3"/>
    <w:rsid w:val="0039144A"/>
    <w:rsid w:val="00392F59"/>
    <w:rsid w:val="00393486"/>
    <w:rsid w:val="0039439A"/>
    <w:rsid w:val="0039573C"/>
    <w:rsid w:val="003A1128"/>
    <w:rsid w:val="003A1898"/>
    <w:rsid w:val="003A472D"/>
    <w:rsid w:val="003A48FE"/>
    <w:rsid w:val="003A6519"/>
    <w:rsid w:val="003A6C3D"/>
    <w:rsid w:val="003B2FD8"/>
    <w:rsid w:val="003B3632"/>
    <w:rsid w:val="003B4A2B"/>
    <w:rsid w:val="003B5DCA"/>
    <w:rsid w:val="003B5F68"/>
    <w:rsid w:val="003B74ED"/>
    <w:rsid w:val="003C0818"/>
    <w:rsid w:val="003C3191"/>
    <w:rsid w:val="003C5C37"/>
    <w:rsid w:val="003D1209"/>
    <w:rsid w:val="003D3431"/>
    <w:rsid w:val="003D467F"/>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5835"/>
    <w:rsid w:val="0041679E"/>
    <w:rsid w:val="0041739C"/>
    <w:rsid w:val="004175F8"/>
    <w:rsid w:val="00420D72"/>
    <w:rsid w:val="004210D2"/>
    <w:rsid w:val="00421D81"/>
    <w:rsid w:val="004226FF"/>
    <w:rsid w:val="0042290F"/>
    <w:rsid w:val="004240A9"/>
    <w:rsid w:val="00425646"/>
    <w:rsid w:val="00431B2E"/>
    <w:rsid w:val="00432267"/>
    <w:rsid w:val="00433ACB"/>
    <w:rsid w:val="0043424A"/>
    <w:rsid w:val="00434B62"/>
    <w:rsid w:val="0043562E"/>
    <w:rsid w:val="00437663"/>
    <w:rsid w:val="00440FBA"/>
    <w:rsid w:val="004461F0"/>
    <w:rsid w:val="0045136E"/>
    <w:rsid w:val="004517C9"/>
    <w:rsid w:val="0045229B"/>
    <w:rsid w:val="0045305E"/>
    <w:rsid w:val="0045353D"/>
    <w:rsid w:val="00453BEC"/>
    <w:rsid w:val="00453D61"/>
    <w:rsid w:val="00454675"/>
    <w:rsid w:val="00455107"/>
    <w:rsid w:val="004555AD"/>
    <w:rsid w:val="004561E9"/>
    <w:rsid w:val="00465167"/>
    <w:rsid w:val="00465187"/>
    <w:rsid w:val="00465F42"/>
    <w:rsid w:val="00472189"/>
    <w:rsid w:val="00473A17"/>
    <w:rsid w:val="004751C8"/>
    <w:rsid w:val="004767FF"/>
    <w:rsid w:val="004819F1"/>
    <w:rsid w:val="00481D2C"/>
    <w:rsid w:val="004831E6"/>
    <w:rsid w:val="00483529"/>
    <w:rsid w:val="0048522E"/>
    <w:rsid w:val="004902FB"/>
    <w:rsid w:val="004914E8"/>
    <w:rsid w:val="004949B3"/>
    <w:rsid w:val="0049603F"/>
    <w:rsid w:val="00496401"/>
    <w:rsid w:val="00496CFB"/>
    <w:rsid w:val="004A1A5D"/>
    <w:rsid w:val="004A3C44"/>
    <w:rsid w:val="004A40DC"/>
    <w:rsid w:val="004A448D"/>
    <w:rsid w:val="004B5BF7"/>
    <w:rsid w:val="004B630C"/>
    <w:rsid w:val="004C25AF"/>
    <w:rsid w:val="004C2E8E"/>
    <w:rsid w:val="004C2F4B"/>
    <w:rsid w:val="004D07F9"/>
    <w:rsid w:val="004D10E6"/>
    <w:rsid w:val="004D1B07"/>
    <w:rsid w:val="004D2E6A"/>
    <w:rsid w:val="004D3B49"/>
    <w:rsid w:val="004D491B"/>
    <w:rsid w:val="004D6D5F"/>
    <w:rsid w:val="004D7F17"/>
    <w:rsid w:val="004E222C"/>
    <w:rsid w:val="004E380A"/>
    <w:rsid w:val="004E7999"/>
    <w:rsid w:val="004F343E"/>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5F81"/>
    <w:rsid w:val="00527203"/>
    <w:rsid w:val="00532078"/>
    <w:rsid w:val="00533307"/>
    <w:rsid w:val="00533DF6"/>
    <w:rsid w:val="0053552C"/>
    <w:rsid w:val="00536741"/>
    <w:rsid w:val="005421BC"/>
    <w:rsid w:val="005425E2"/>
    <w:rsid w:val="00543194"/>
    <w:rsid w:val="0054758B"/>
    <w:rsid w:val="00550147"/>
    <w:rsid w:val="005519E5"/>
    <w:rsid w:val="00551B3A"/>
    <w:rsid w:val="00552790"/>
    <w:rsid w:val="00552CA0"/>
    <w:rsid w:val="00556BA0"/>
    <w:rsid w:val="00557307"/>
    <w:rsid w:val="0056166B"/>
    <w:rsid w:val="00564840"/>
    <w:rsid w:val="005650D3"/>
    <w:rsid w:val="00567121"/>
    <w:rsid w:val="0057017B"/>
    <w:rsid w:val="005714D2"/>
    <w:rsid w:val="00571617"/>
    <w:rsid w:val="005717C2"/>
    <w:rsid w:val="005728C1"/>
    <w:rsid w:val="00582163"/>
    <w:rsid w:val="00584744"/>
    <w:rsid w:val="00586AC3"/>
    <w:rsid w:val="00590141"/>
    <w:rsid w:val="00593F29"/>
    <w:rsid w:val="00597195"/>
    <w:rsid w:val="005A6730"/>
    <w:rsid w:val="005A72D8"/>
    <w:rsid w:val="005B1A02"/>
    <w:rsid w:val="005B38BD"/>
    <w:rsid w:val="005B42CA"/>
    <w:rsid w:val="005B4DE6"/>
    <w:rsid w:val="005B55FB"/>
    <w:rsid w:val="005B7ECD"/>
    <w:rsid w:val="005C3876"/>
    <w:rsid w:val="005C5BAA"/>
    <w:rsid w:val="005D2C02"/>
    <w:rsid w:val="005D442C"/>
    <w:rsid w:val="005D4A0F"/>
    <w:rsid w:val="005D7119"/>
    <w:rsid w:val="005E0709"/>
    <w:rsid w:val="005E0C01"/>
    <w:rsid w:val="005E0CD6"/>
    <w:rsid w:val="005E45BC"/>
    <w:rsid w:val="005E6000"/>
    <w:rsid w:val="005E6F41"/>
    <w:rsid w:val="005F0016"/>
    <w:rsid w:val="005F0FA1"/>
    <w:rsid w:val="005F6E5C"/>
    <w:rsid w:val="005F6EAB"/>
    <w:rsid w:val="00603D72"/>
    <w:rsid w:val="00604147"/>
    <w:rsid w:val="00607D63"/>
    <w:rsid w:val="006122D5"/>
    <w:rsid w:val="0061263B"/>
    <w:rsid w:val="006126EE"/>
    <w:rsid w:val="006128F0"/>
    <w:rsid w:val="00612F7B"/>
    <w:rsid w:val="00615580"/>
    <w:rsid w:val="006166C6"/>
    <w:rsid w:val="006168CA"/>
    <w:rsid w:val="006171C9"/>
    <w:rsid w:val="00627B39"/>
    <w:rsid w:val="00630134"/>
    <w:rsid w:val="006326AC"/>
    <w:rsid w:val="00635447"/>
    <w:rsid w:val="00637C10"/>
    <w:rsid w:val="00637C61"/>
    <w:rsid w:val="00637CFD"/>
    <w:rsid w:val="00640E83"/>
    <w:rsid w:val="0064144C"/>
    <w:rsid w:val="00644B4F"/>
    <w:rsid w:val="00654D45"/>
    <w:rsid w:val="00656533"/>
    <w:rsid w:val="0065657C"/>
    <w:rsid w:val="0065728A"/>
    <w:rsid w:val="00657FCB"/>
    <w:rsid w:val="006600C7"/>
    <w:rsid w:val="006623EA"/>
    <w:rsid w:val="00662D60"/>
    <w:rsid w:val="006640D2"/>
    <w:rsid w:val="00664657"/>
    <w:rsid w:val="0066545A"/>
    <w:rsid w:val="00666A33"/>
    <w:rsid w:val="0066777D"/>
    <w:rsid w:val="00671450"/>
    <w:rsid w:val="00671CBE"/>
    <w:rsid w:val="00674132"/>
    <w:rsid w:val="006752FB"/>
    <w:rsid w:val="00676B70"/>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4B8F"/>
    <w:rsid w:val="006B7A41"/>
    <w:rsid w:val="006C04AD"/>
    <w:rsid w:val="006C30C6"/>
    <w:rsid w:val="006C3690"/>
    <w:rsid w:val="006C4880"/>
    <w:rsid w:val="006C71F6"/>
    <w:rsid w:val="006D2BF9"/>
    <w:rsid w:val="006D5628"/>
    <w:rsid w:val="006E1081"/>
    <w:rsid w:val="006E1469"/>
    <w:rsid w:val="006F1AE8"/>
    <w:rsid w:val="006F2145"/>
    <w:rsid w:val="006F257A"/>
    <w:rsid w:val="006F3DA2"/>
    <w:rsid w:val="006F4835"/>
    <w:rsid w:val="006F5ECC"/>
    <w:rsid w:val="006F78AD"/>
    <w:rsid w:val="00702FBF"/>
    <w:rsid w:val="007114AD"/>
    <w:rsid w:val="00712BCB"/>
    <w:rsid w:val="007158E8"/>
    <w:rsid w:val="00716B77"/>
    <w:rsid w:val="007201D5"/>
    <w:rsid w:val="00720220"/>
    <w:rsid w:val="007244B1"/>
    <w:rsid w:val="00726E3C"/>
    <w:rsid w:val="007311DA"/>
    <w:rsid w:val="00731C59"/>
    <w:rsid w:val="00732053"/>
    <w:rsid w:val="00732883"/>
    <w:rsid w:val="0073499D"/>
    <w:rsid w:val="007433AF"/>
    <w:rsid w:val="00744B92"/>
    <w:rsid w:val="007472F9"/>
    <w:rsid w:val="0075038A"/>
    <w:rsid w:val="00750C1F"/>
    <w:rsid w:val="007525F8"/>
    <w:rsid w:val="00752D4E"/>
    <w:rsid w:val="00753374"/>
    <w:rsid w:val="00761A9A"/>
    <w:rsid w:val="00761AAB"/>
    <w:rsid w:val="00772269"/>
    <w:rsid w:val="00772682"/>
    <w:rsid w:val="00772D25"/>
    <w:rsid w:val="0077336F"/>
    <w:rsid w:val="00773885"/>
    <w:rsid w:val="00780D14"/>
    <w:rsid w:val="00782F36"/>
    <w:rsid w:val="00784ED5"/>
    <w:rsid w:val="0078602E"/>
    <w:rsid w:val="00790ED6"/>
    <w:rsid w:val="00791D55"/>
    <w:rsid w:val="00791FBA"/>
    <w:rsid w:val="007941C2"/>
    <w:rsid w:val="0079700B"/>
    <w:rsid w:val="007A00C6"/>
    <w:rsid w:val="007A061D"/>
    <w:rsid w:val="007A2F0A"/>
    <w:rsid w:val="007A3969"/>
    <w:rsid w:val="007A3F3F"/>
    <w:rsid w:val="007A54ED"/>
    <w:rsid w:val="007B2C24"/>
    <w:rsid w:val="007B3707"/>
    <w:rsid w:val="007B4BFC"/>
    <w:rsid w:val="007B610C"/>
    <w:rsid w:val="007B626E"/>
    <w:rsid w:val="007B6778"/>
    <w:rsid w:val="007C0015"/>
    <w:rsid w:val="007C5210"/>
    <w:rsid w:val="007C53DB"/>
    <w:rsid w:val="007D0C19"/>
    <w:rsid w:val="007D226F"/>
    <w:rsid w:val="007D402E"/>
    <w:rsid w:val="007D5472"/>
    <w:rsid w:val="007D7D84"/>
    <w:rsid w:val="007E1460"/>
    <w:rsid w:val="007E2004"/>
    <w:rsid w:val="007E6B9E"/>
    <w:rsid w:val="007F2DB2"/>
    <w:rsid w:val="007F2FA3"/>
    <w:rsid w:val="007F44D5"/>
    <w:rsid w:val="0080095B"/>
    <w:rsid w:val="00804B53"/>
    <w:rsid w:val="0081137C"/>
    <w:rsid w:val="00811AAB"/>
    <w:rsid w:val="00816754"/>
    <w:rsid w:val="0082372C"/>
    <w:rsid w:val="0082703E"/>
    <w:rsid w:val="008275C2"/>
    <w:rsid w:val="00827B0B"/>
    <w:rsid w:val="008338E8"/>
    <w:rsid w:val="00836165"/>
    <w:rsid w:val="00840866"/>
    <w:rsid w:val="00840E27"/>
    <w:rsid w:val="00844242"/>
    <w:rsid w:val="0084514B"/>
    <w:rsid w:val="008467F9"/>
    <w:rsid w:val="00851E24"/>
    <w:rsid w:val="008523EC"/>
    <w:rsid w:val="008563C0"/>
    <w:rsid w:val="00857650"/>
    <w:rsid w:val="00863FA0"/>
    <w:rsid w:val="008642E8"/>
    <w:rsid w:val="008653EF"/>
    <w:rsid w:val="008746E6"/>
    <w:rsid w:val="00875051"/>
    <w:rsid w:val="00877B9A"/>
    <w:rsid w:val="00880E0A"/>
    <w:rsid w:val="00881B62"/>
    <w:rsid w:val="00881D3E"/>
    <w:rsid w:val="00881F5F"/>
    <w:rsid w:val="008836BE"/>
    <w:rsid w:val="008845AF"/>
    <w:rsid w:val="00886547"/>
    <w:rsid w:val="00886D86"/>
    <w:rsid w:val="00891588"/>
    <w:rsid w:val="00893DC4"/>
    <w:rsid w:val="008976BD"/>
    <w:rsid w:val="008A556D"/>
    <w:rsid w:val="008A5605"/>
    <w:rsid w:val="008A6B1C"/>
    <w:rsid w:val="008A73C9"/>
    <w:rsid w:val="008B0843"/>
    <w:rsid w:val="008B4E0C"/>
    <w:rsid w:val="008C4052"/>
    <w:rsid w:val="008C4B13"/>
    <w:rsid w:val="008C6EB9"/>
    <w:rsid w:val="008D028F"/>
    <w:rsid w:val="008D09B0"/>
    <w:rsid w:val="008D10E2"/>
    <w:rsid w:val="008D6113"/>
    <w:rsid w:val="008D7D1F"/>
    <w:rsid w:val="008E1C4C"/>
    <w:rsid w:val="008E2ACF"/>
    <w:rsid w:val="008E48DA"/>
    <w:rsid w:val="008E4F09"/>
    <w:rsid w:val="008E65F2"/>
    <w:rsid w:val="008F0715"/>
    <w:rsid w:val="008F16AC"/>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41E3"/>
    <w:rsid w:val="009258AC"/>
    <w:rsid w:val="00925BDD"/>
    <w:rsid w:val="00930104"/>
    <w:rsid w:val="0093305F"/>
    <w:rsid w:val="00933DC2"/>
    <w:rsid w:val="00934EA9"/>
    <w:rsid w:val="009375B4"/>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554"/>
    <w:rsid w:val="009A0DC6"/>
    <w:rsid w:val="009A43E6"/>
    <w:rsid w:val="009A45EF"/>
    <w:rsid w:val="009A69D1"/>
    <w:rsid w:val="009A6C3F"/>
    <w:rsid w:val="009A76D3"/>
    <w:rsid w:val="009B4498"/>
    <w:rsid w:val="009B5A29"/>
    <w:rsid w:val="009B5FF4"/>
    <w:rsid w:val="009B7143"/>
    <w:rsid w:val="009C200D"/>
    <w:rsid w:val="009C32F7"/>
    <w:rsid w:val="009C5490"/>
    <w:rsid w:val="009C5574"/>
    <w:rsid w:val="009C5AB6"/>
    <w:rsid w:val="009C7AF9"/>
    <w:rsid w:val="009D0F66"/>
    <w:rsid w:val="009D3824"/>
    <w:rsid w:val="009D6227"/>
    <w:rsid w:val="009D6D48"/>
    <w:rsid w:val="009E066C"/>
    <w:rsid w:val="009E086E"/>
    <w:rsid w:val="009E1E90"/>
    <w:rsid w:val="009E4E9C"/>
    <w:rsid w:val="009F0EAC"/>
    <w:rsid w:val="009F51D6"/>
    <w:rsid w:val="009F5ED2"/>
    <w:rsid w:val="009F7C64"/>
    <w:rsid w:val="009F7CB0"/>
    <w:rsid w:val="00A01EB6"/>
    <w:rsid w:val="00A072A3"/>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2658"/>
    <w:rsid w:val="00A5758B"/>
    <w:rsid w:val="00A60E98"/>
    <w:rsid w:val="00A7178B"/>
    <w:rsid w:val="00A7195F"/>
    <w:rsid w:val="00A74FD9"/>
    <w:rsid w:val="00A80661"/>
    <w:rsid w:val="00A81958"/>
    <w:rsid w:val="00A8394F"/>
    <w:rsid w:val="00A847A2"/>
    <w:rsid w:val="00A852A8"/>
    <w:rsid w:val="00A87109"/>
    <w:rsid w:val="00A8778E"/>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9BE"/>
    <w:rsid w:val="00AE4B9E"/>
    <w:rsid w:val="00AE59F3"/>
    <w:rsid w:val="00AE6729"/>
    <w:rsid w:val="00AF4421"/>
    <w:rsid w:val="00AF64AE"/>
    <w:rsid w:val="00AF6E2E"/>
    <w:rsid w:val="00B00074"/>
    <w:rsid w:val="00B01F5F"/>
    <w:rsid w:val="00B07F69"/>
    <w:rsid w:val="00B17FD6"/>
    <w:rsid w:val="00B2195D"/>
    <w:rsid w:val="00B231BD"/>
    <w:rsid w:val="00B264D8"/>
    <w:rsid w:val="00B3069C"/>
    <w:rsid w:val="00B32EA0"/>
    <w:rsid w:val="00B34A8A"/>
    <w:rsid w:val="00B366E9"/>
    <w:rsid w:val="00B36C8F"/>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227D"/>
    <w:rsid w:val="00B7402C"/>
    <w:rsid w:val="00B754F1"/>
    <w:rsid w:val="00B80D55"/>
    <w:rsid w:val="00B81034"/>
    <w:rsid w:val="00B81A85"/>
    <w:rsid w:val="00B83C61"/>
    <w:rsid w:val="00B86FDD"/>
    <w:rsid w:val="00B9218D"/>
    <w:rsid w:val="00B93B21"/>
    <w:rsid w:val="00B9485A"/>
    <w:rsid w:val="00B95A89"/>
    <w:rsid w:val="00BA2C74"/>
    <w:rsid w:val="00BA3D7E"/>
    <w:rsid w:val="00BA4203"/>
    <w:rsid w:val="00BA5C58"/>
    <w:rsid w:val="00BB100B"/>
    <w:rsid w:val="00BB1459"/>
    <w:rsid w:val="00BB1E28"/>
    <w:rsid w:val="00BB201D"/>
    <w:rsid w:val="00BB3424"/>
    <w:rsid w:val="00BB6AD0"/>
    <w:rsid w:val="00BC0DA7"/>
    <w:rsid w:val="00BC1A4E"/>
    <w:rsid w:val="00BC1CA9"/>
    <w:rsid w:val="00BC2B32"/>
    <w:rsid w:val="00BC44B6"/>
    <w:rsid w:val="00BC53FF"/>
    <w:rsid w:val="00BD054A"/>
    <w:rsid w:val="00BD3733"/>
    <w:rsid w:val="00BD483D"/>
    <w:rsid w:val="00BD4B2E"/>
    <w:rsid w:val="00BE313E"/>
    <w:rsid w:val="00BE36F3"/>
    <w:rsid w:val="00BE4854"/>
    <w:rsid w:val="00BF02D9"/>
    <w:rsid w:val="00BF03BB"/>
    <w:rsid w:val="00BF06F9"/>
    <w:rsid w:val="00BF1CF7"/>
    <w:rsid w:val="00BF318A"/>
    <w:rsid w:val="00BF3AF3"/>
    <w:rsid w:val="00BF46CC"/>
    <w:rsid w:val="00BF5C5F"/>
    <w:rsid w:val="00C024FF"/>
    <w:rsid w:val="00C02598"/>
    <w:rsid w:val="00C06212"/>
    <w:rsid w:val="00C104E1"/>
    <w:rsid w:val="00C12C98"/>
    <w:rsid w:val="00C12CA1"/>
    <w:rsid w:val="00C12D7E"/>
    <w:rsid w:val="00C14134"/>
    <w:rsid w:val="00C15C17"/>
    <w:rsid w:val="00C202F6"/>
    <w:rsid w:val="00C233D8"/>
    <w:rsid w:val="00C23922"/>
    <w:rsid w:val="00C23BE0"/>
    <w:rsid w:val="00C24268"/>
    <w:rsid w:val="00C254B4"/>
    <w:rsid w:val="00C330F1"/>
    <w:rsid w:val="00C33B40"/>
    <w:rsid w:val="00C34736"/>
    <w:rsid w:val="00C34DA4"/>
    <w:rsid w:val="00C36918"/>
    <w:rsid w:val="00C4397E"/>
    <w:rsid w:val="00C43FE3"/>
    <w:rsid w:val="00C440FA"/>
    <w:rsid w:val="00C467CD"/>
    <w:rsid w:val="00C500D2"/>
    <w:rsid w:val="00C52240"/>
    <w:rsid w:val="00C5295F"/>
    <w:rsid w:val="00C52AA1"/>
    <w:rsid w:val="00C55E89"/>
    <w:rsid w:val="00C5692A"/>
    <w:rsid w:val="00C56991"/>
    <w:rsid w:val="00C62175"/>
    <w:rsid w:val="00C6440B"/>
    <w:rsid w:val="00C65D8B"/>
    <w:rsid w:val="00C6626B"/>
    <w:rsid w:val="00C6686F"/>
    <w:rsid w:val="00C6771C"/>
    <w:rsid w:val="00C70765"/>
    <w:rsid w:val="00C71D7A"/>
    <w:rsid w:val="00C725DC"/>
    <w:rsid w:val="00C72868"/>
    <w:rsid w:val="00C731EC"/>
    <w:rsid w:val="00C754FB"/>
    <w:rsid w:val="00C77F94"/>
    <w:rsid w:val="00C77FBA"/>
    <w:rsid w:val="00C81C41"/>
    <w:rsid w:val="00C82273"/>
    <w:rsid w:val="00C82394"/>
    <w:rsid w:val="00C8389B"/>
    <w:rsid w:val="00C86659"/>
    <w:rsid w:val="00C86FEA"/>
    <w:rsid w:val="00C87F52"/>
    <w:rsid w:val="00C93E32"/>
    <w:rsid w:val="00CA2610"/>
    <w:rsid w:val="00CA39AE"/>
    <w:rsid w:val="00CA39D6"/>
    <w:rsid w:val="00CA48AB"/>
    <w:rsid w:val="00CA4B19"/>
    <w:rsid w:val="00CA63CC"/>
    <w:rsid w:val="00CA77E0"/>
    <w:rsid w:val="00CB10CC"/>
    <w:rsid w:val="00CB278F"/>
    <w:rsid w:val="00CB6E75"/>
    <w:rsid w:val="00CC07A9"/>
    <w:rsid w:val="00CC0C0E"/>
    <w:rsid w:val="00CC2FDC"/>
    <w:rsid w:val="00CC7266"/>
    <w:rsid w:val="00CC7419"/>
    <w:rsid w:val="00CD0633"/>
    <w:rsid w:val="00CD0FA9"/>
    <w:rsid w:val="00CD1B0E"/>
    <w:rsid w:val="00CD1FB2"/>
    <w:rsid w:val="00CD2A29"/>
    <w:rsid w:val="00CD3AC3"/>
    <w:rsid w:val="00CD448A"/>
    <w:rsid w:val="00CD4EBD"/>
    <w:rsid w:val="00CE186A"/>
    <w:rsid w:val="00CE1E7D"/>
    <w:rsid w:val="00CE26C9"/>
    <w:rsid w:val="00CE3810"/>
    <w:rsid w:val="00CE5CB9"/>
    <w:rsid w:val="00CE5DFD"/>
    <w:rsid w:val="00CF17A5"/>
    <w:rsid w:val="00CF1DCD"/>
    <w:rsid w:val="00CF2ACA"/>
    <w:rsid w:val="00CF34E2"/>
    <w:rsid w:val="00CF354C"/>
    <w:rsid w:val="00CF3B7C"/>
    <w:rsid w:val="00D0242C"/>
    <w:rsid w:val="00D028B4"/>
    <w:rsid w:val="00D040E5"/>
    <w:rsid w:val="00D06AE9"/>
    <w:rsid w:val="00D15C5C"/>
    <w:rsid w:val="00D15F58"/>
    <w:rsid w:val="00D170E1"/>
    <w:rsid w:val="00D17738"/>
    <w:rsid w:val="00D21A90"/>
    <w:rsid w:val="00D22685"/>
    <w:rsid w:val="00D26BFD"/>
    <w:rsid w:val="00D31329"/>
    <w:rsid w:val="00D346D5"/>
    <w:rsid w:val="00D34DD2"/>
    <w:rsid w:val="00D377CC"/>
    <w:rsid w:val="00D40657"/>
    <w:rsid w:val="00D4309B"/>
    <w:rsid w:val="00D45B26"/>
    <w:rsid w:val="00D46242"/>
    <w:rsid w:val="00D51AE5"/>
    <w:rsid w:val="00D52854"/>
    <w:rsid w:val="00D542EC"/>
    <w:rsid w:val="00D61344"/>
    <w:rsid w:val="00D65E20"/>
    <w:rsid w:val="00D66C1D"/>
    <w:rsid w:val="00D67FE1"/>
    <w:rsid w:val="00D71063"/>
    <w:rsid w:val="00D73288"/>
    <w:rsid w:val="00D75A9A"/>
    <w:rsid w:val="00D75C19"/>
    <w:rsid w:val="00D822C9"/>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B7B"/>
    <w:rsid w:val="00DB5FFF"/>
    <w:rsid w:val="00DB6DA3"/>
    <w:rsid w:val="00DC3AFA"/>
    <w:rsid w:val="00DC3D82"/>
    <w:rsid w:val="00DC4944"/>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2AC1"/>
    <w:rsid w:val="00E14946"/>
    <w:rsid w:val="00E15C1A"/>
    <w:rsid w:val="00E17661"/>
    <w:rsid w:val="00E21082"/>
    <w:rsid w:val="00E23048"/>
    <w:rsid w:val="00E24C56"/>
    <w:rsid w:val="00E267A9"/>
    <w:rsid w:val="00E30A11"/>
    <w:rsid w:val="00E319F3"/>
    <w:rsid w:val="00E3276C"/>
    <w:rsid w:val="00E33626"/>
    <w:rsid w:val="00E42C5B"/>
    <w:rsid w:val="00E4300C"/>
    <w:rsid w:val="00E46238"/>
    <w:rsid w:val="00E46DC5"/>
    <w:rsid w:val="00E47A10"/>
    <w:rsid w:val="00E50C44"/>
    <w:rsid w:val="00E50E83"/>
    <w:rsid w:val="00E525A6"/>
    <w:rsid w:val="00E5356B"/>
    <w:rsid w:val="00E54D9C"/>
    <w:rsid w:val="00E566B8"/>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2F4"/>
    <w:rsid w:val="00EA393F"/>
    <w:rsid w:val="00EA4643"/>
    <w:rsid w:val="00EA66A3"/>
    <w:rsid w:val="00EB218F"/>
    <w:rsid w:val="00EB7A97"/>
    <w:rsid w:val="00EB7BD7"/>
    <w:rsid w:val="00EC0C03"/>
    <w:rsid w:val="00EC1377"/>
    <w:rsid w:val="00EC16D4"/>
    <w:rsid w:val="00EC23CD"/>
    <w:rsid w:val="00EC3544"/>
    <w:rsid w:val="00EC6203"/>
    <w:rsid w:val="00EC654E"/>
    <w:rsid w:val="00EC67AB"/>
    <w:rsid w:val="00EC6897"/>
    <w:rsid w:val="00EC6D8F"/>
    <w:rsid w:val="00EC7CE5"/>
    <w:rsid w:val="00ED24A0"/>
    <w:rsid w:val="00ED3ACE"/>
    <w:rsid w:val="00ED50B1"/>
    <w:rsid w:val="00ED5329"/>
    <w:rsid w:val="00ED618A"/>
    <w:rsid w:val="00ED7C56"/>
    <w:rsid w:val="00EE004B"/>
    <w:rsid w:val="00EE3A87"/>
    <w:rsid w:val="00EE557B"/>
    <w:rsid w:val="00EE5AD8"/>
    <w:rsid w:val="00EE6121"/>
    <w:rsid w:val="00EE693F"/>
    <w:rsid w:val="00EE7830"/>
    <w:rsid w:val="00EF046E"/>
    <w:rsid w:val="00EF739F"/>
    <w:rsid w:val="00F00F1B"/>
    <w:rsid w:val="00F0173D"/>
    <w:rsid w:val="00F02502"/>
    <w:rsid w:val="00F027A8"/>
    <w:rsid w:val="00F04313"/>
    <w:rsid w:val="00F06051"/>
    <w:rsid w:val="00F105B1"/>
    <w:rsid w:val="00F10DD5"/>
    <w:rsid w:val="00F11127"/>
    <w:rsid w:val="00F11ADB"/>
    <w:rsid w:val="00F1447F"/>
    <w:rsid w:val="00F20B42"/>
    <w:rsid w:val="00F22E01"/>
    <w:rsid w:val="00F23A2F"/>
    <w:rsid w:val="00F25B58"/>
    <w:rsid w:val="00F32FCA"/>
    <w:rsid w:val="00F3575D"/>
    <w:rsid w:val="00F35C24"/>
    <w:rsid w:val="00F3619E"/>
    <w:rsid w:val="00F36890"/>
    <w:rsid w:val="00F42EFD"/>
    <w:rsid w:val="00F46980"/>
    <w:rsid w:val="00F5227B"/>
    <w:rsid w:val="00F53F26"/>
    <w:rsid w:val="00F56E9F"/>
    <w:rsid w:val="00F57C6F"/>
    <w:rsid w:val="00F657A4"/>
    <w:rsid w:val="00F66DAA"/>
    <w:rsid w:val="00F7164D"/>
    <w:rsid w:val="00F76940"/>
    <w:rsid w:val="00F76998"/>
    <w:rsid w:val="00F77DE3"/>
    <w:rsid w:val="00F77F48"/>
    <w:rsid w:val="00F81FC7"/>
    <w:rsid w:val="00F8273A"/>
    <w:rsid w:val="00F82BF9"/>
    <w:rsid w:val="00F85B30"/>
    <w:rsid w:val="00F86432"/>
    <w:rsid w:val="00F86BDF"/>
    <w:rsid w:val="00F91D36"/>
    <w:rsid w:val="00F93747"/>
    <w:rsid w:val="00F97E1C"/>
    <w:rsid w:val="00FA48E2"/>
    <w:rsid w:val="00FA5B7B"/>
    <w:rsid w:val="00FA6A93"/>
    <w:rsid w:val="00FA7C84"/>
    <w:rsid w:val="00FB0002"/>
    <w:rsid w:val="00FB5868"/>
    <w:rsid w:val="00FB6021"/>
    <w:rsid w:val="00FB6FDA"/>
    <w:rsid w:val="00FC0DE2"/>
    <w:rsid w:val="00FC1EC2"/>
    <w:rsid w:val="00FC30A9"/>
    <w:rsid w:val="00FC3A06"/>
    <w:rsid w:val="00FC50BA"/>
    <w:rsid w:val="00FC5AEF"/>
    <w:rsid w:val="00FC739F"/>
    <w:rsid w:val="00FD3AC7"/>
    <w:rsid w:val="00FD3F10"/>
    <w:rsid w:val="00FD48DA"/>
    <w:rsid w:val="00FD5B76"/>
    <w:rsid w:val="00FD6A0C"/>
    <w:rsid w:val="00FD7B00"/>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338116635">
      <w:bodyDiv w:val="1"/>
      <w:marLeft w:val="0"/>
      <w:marRight w:val="0"/>
      <w:marTop w:val="0"/>
      <w:marBottom w:val="0"/>
      <w:divBdr>
        <w:top w:val="none" w:sz="0" w:space="0" w:color="auto"/>
        <w:left w:val="none" w:sz="0" w:space="0" w:color="auto"/>
        <w:bottom w:val="none" w:sz="0" w:space="0" w:color="auto"/>
        <w:right w:val="none" w:sz="0" w:space="0" w:color="auto"/>
      </w:divBdr>
    </w:div>
    <w:div w:id="596716282">
      <w:bodyDiv w:val="1"/>
      <w:marLeft w:val="0"/>
      <w:marRight w:val="0"/>
      <w:marTop w:val="0"/>
      <w:marBottom w:val="0"/>
      <w:divBdr>
        <w:top w:val="none" w:sz="0" w:space="0" w:color="auto"/>
        <w:left w:val="none" w:sz="0" w:space="0" w:color="auto"/>
        <w:bottom w:val="none" w:sz="0" w:space="0" w:color="auto"/>
        <w:right w:val="none" w:sz="0" w:space="0" w:color="auto"/>
      </w:divBdr>
    </w:div>
    <w:div w:id="673920591">
      <w:bodyDiv w:val="1"/>
      <w:marLeft w:val="0"/>
      <w:marRight w:val="0"/>
      <w:marTop w:val="0"/>
      <w:marBottom w:val="0"/>
      <w:divBdr>
        <w:top w:val="none" w:sz="0" w:space="0" w:color="auto"/>
        <w:left w:val="none" w:sz="0" w:space="0" w:color="auto"/>
        <w:bottom w:val="none" w:sz="0" w:space="0" w:color="auto"/>
        <w:right w:val="none" w:sz="0" w:space="0" w:color="auto"/>
      </w:divBdr>
    </w:div>
    <w:div w:id="694114417">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 w:id="204998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B6FC1-D56C-428F-B012-1603012DF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3963</Words>
  <Characters>23991</Characters>
  <Application>Microsoft Office Word</Application>
  <DocSecurity>0</DocSecurity>
  <Lines>199</Lines>
  <Paragraphs>55</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27899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Κολοκοτρώνη Κωνσταντίνα</dc:creator>
  <dc:description>Generated by Oracle BI Publisher 11.1.1.7.0</dc:description>
  <cp:lastModifiedBy>hp12-82</cp:lastModifiedBy>
  <cp:revision>2</cp:revision>
  <cp:lastPrinted>2016-04-26T09:40:00Z</cp:lastPrinted>
  <dcterms:created xsi:type="dcterms:W3CDTF">2020-07-21T10:29:00Z</dcterms:created>
  <dcterms:modified xsi:type="dcterms:W3CDTF">2020-07-21T10:29:00Z</dcterms:modified>
</cp:coreProperties>
</file>